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DA4" w:rsidRPr="004D46F0" w:rsidRDefault="00417DA4">
      <w:pPr>
        <w:rPr>
          <w:b/>
          <w:bCs/>
          <w:lang w:val="en-US"/>
        </w:rPr>
      </w:pPr>
      <w:r w:rsidRPr="00452BEA">
        <w:rPr>
          <w:b/>
          <w:bCs/>
          <w:lang w:val="en-US"/>
        </w:rPr>
        <w:t>Selected properties of geopolymers with different portions of ground fly-ash</w:t>
      </w:r>
    </w:p>
    <w:p w:rsidR="00417DA4" w:rsidRPr="009833A3" w:rsidRDefault="00417DA4">
      <w:pPr>
        <w:rPr>
          <w:lang w:val="en-GB"/>
        </w:rPr>
      </w:pPr>
      <w:r>
        <w:rPr>
          <w:b/>
          <w:bCs/>
          <w:lang w:val="en-US"/>
        </w:rPr>
        <w:t xml:space="preserve">Abstract: </w:t>
      </w:r>
      <w:r w:rsidRPr="009833A3">
        <w:rPr>
          <w:lang w:val="en-GB"/>
        </w:rPr>
        <w:t>Geopolymers are polymeric materials resulting from the polycondensation reaction of alumino-silicate materials in a strongly alkaline environment. In the consequence, stable polymeric networks of aluminosilicates are formed. The binding potential of FA (fly ash) amorphous component can also be “activated” by mechanical activation, which unfolds new possibilities of FA utilization. Mechanical activation, as a method which can improve FA reactivity, is often applied for different applications for geopolymers based on ground fly ash. This paper presents possibilities of preparing of geopolymer mixtures based on modified (ground) FA (TEKO – produced by the Heating plant Ko</w:t>
      </w:r>
      <w:r>
        <w:rPr>
          <w:lang w:val="en-GB"/>
        </w:rPr>
        <w:t>s</w:t>
      </w:r>
      <w:r w:rsidRPr="009833A3">
        <w:rPr>
          <w:lang w:val="en-GB"/>
        </w:rPr>
        <w:t>ice), which was used in varying percentages to unground</w:t>
      </w:r>
      <w:r w:rsidRPr="009833A3">
        <w:rPr>
          <w:lang w:val="en-US"/>
        </w:rPr>
        <w:t xml:space="preserve"> (original) FA</w:t>
      </w:r>
      <w:r w:rsidRPr="009833A3">
        <w:rPr>
          <w:lang w:val="en-GB"/>
        </w:rPr>
        <w:t xml:space="preserve">. The </w:t>
      </w:r>
      <w:r w:rsidRPr="009833A3">
        <w:rPr>
          <w:lang w:val="sk-SK"/>
        </w:rPr>
        <w:t xml:space="preserve">particle size of </w:t>
      </w:r>
      <w:r w:rsidRPr="009833A3">
        <w:rPr>
          <w:lang w:val="en-GB"/>
        </w:rPr>
        <w:t>original unground FA (PVT) was</w:t>
      </w:r>
      <w:r w:rsidRPr="009833A3">
        <w:rPr>
          <w:lang w:val="sk-SK"/>
        </w:rPr>
        <w:t xml:space="preserve"> 84.7</w:t>
      </w:r>
      <w:r w:rsidRPr="009833A3">
        <w:rPr>
          <w:lang w:val="en-GB"/>
        </w:rPr>
        <w:t>μm and particle size of ground FA (T60S1) was 52.8μm. Properties to be evaluate were selected from expected application point of view – protective coating of concrete. Next properties of geopolymer mixtures after 28 days of hardening were tested and evaluated: dry density, absorptivity, capillarity, compressive and flexural strength.</w:t>
      </w:r>
    </w:p>
    <w:p w:rsidR="00417DA4" w:rsidRPr="005A5C8C" w:rsidRDefault="00417DA4">
      <w:pPr>
        <w:rPr>
          <w:lang w:val="en-US"/>
        </w:rPr>
      </w:pPr>
      <w:r>
        <w:rPr>
          <w:b/>
          <w:bCs/>
          <w:lang w:val="en-US"/>
        </w:rPr>
        <w:t xml:space="preserve">Keywords: </w:t>
      </w:r>
      <w:r w:rsidRPr="00662DDE">
        <w:rPr>
          <w:lang w:val="en-US"/>
        </w:rPr>
        <w:t xml:space="preserve">geopolymer, fly ash - FA, strength, </w:t>
      </w:r>
      <w:r w:rsidRPr="00662DDE">
        <w:rPr>
          <w:lang w:val="en-GB"/>
        </w:rPr>
        <w:t>absorptivity, capillarity</w:t>
      </w:r>
    </w:p>
    <w:p w:rsidR="00417DA4" w:rsidRDefault="00417DA4">
      <w:pPr>
        <w:numPr>
          <w:ilvl w:val="0"/>
          <w:numId w:val="1"/>
        </w:numPr>
        <w:rPr>
          <w:b/>
          <w:bCs/>
          <w:sz w:val="28"/>
          <w:szCs w:val="28"/>
          <w:lang w:val="en-US"/>
        </w:rPr>
      </w:pPr>
      <w:r>
        <w:rPr>
          <w:b/>
          <w:bCs/>
          <w:sz w:val="28"/>
          <w:szCs w:val="28"/>
          <w:lang w:val="en-US"/>
        </w:rPr>
        <w:t>Introduction</w:t>
      </w:r>
    </w:p>
    <w:p w:rsidR="00417DA4" w:rsidRPr="001D25FA" w:rsidRDefault="00417DA4">
      <w:pPr>
        <w:rPr>
          <w:color w:val="000000"/>
          <w:lang w:val="en-GB"/>
        </w:rPr>
      </w:pPr>
      <w:r w:rsidRPr="001D25FA">
        <w:rPr>
          <w:color w:val="000000"/>
          <w:lang w:val="en-GB"/>
        </w:rPr>
        <w:t xml:space="preserve">Construction industry provides great and significant amount of options for use of industrial wastes in manufacturing of some building materials, or in the development of new ones. The global development of consumer society, however, leads to an enormous increase in waste production and problems with their disposal, therefore necessity of processing the wastes even at higher energy expense and final cost, is discussed still more </w:t>
      </w:r>
      <w:r w:rsidRPr="003D534A">
        <w:rPr>
          <w:color w:val="000000"/>
          <w:lang w:val="en-GB"/>
        </w:rPr>
        <w:t>(</w:t>
      </w:r>
      <w:r w:rsidRPr="004809C0">
        <w:t>Rai</w:t>
      </w:r>
      <w:r>
        <w:t xml:space="preserve">  A. and </w:t>
      </w:r>
      <w:r w:rsidRPr="004809C0">
        <w:t>Rao</w:t>
      </w:r>
      <w:r>
        <w:t xml:space="preserve"> D.B.N., 2005</w:t>
      </w:r>
      <w:r>
        <w:rPr>
          <w:color w:val="000000"/>
          <w:lang w:val="en-GB"/>
        </w:rPr>
        <w:t>)</w:t>
      </w:r>
      <w:r w:rsidRPr="001D25FA">
        <w:rPr>
          <w:color w:val="000000"/>
          <w:lang w:val="en-GB"/>
        </w:rPr>
        <w:t xml:space="preserve">. </w:t>
      </w:r>
    </w:p>
    <w:p w:rsidR="00417DA4" w:rsidRDefault="00417DA4">
      <w:pPr>
        <w:rPr>
          <w:rStyle w:val="hps"/>
          <w:rFonts w:cs="Arial"/>
        </w:rPr>
      </w:pPr>
      <w:r>
        <w:rPr>
          <w:color w:val="000000"/>
        </w:rPr>
        <w:t>Worldwide, millions of tons of fly ash are generated each year by coal-fired power plants satisfying the large demand for industrial and domestic energy. In Slovakia, a majority of fly ashes are hydraulically transported to settling basins or extracted mines and only a small amount of fly ashes is utilized. The deposited fly ashes are being exposed to exogenous and biogenous factors that change their chemical and structural composition and become harmful to the environment (Michalíková et al., 2003)</w:t>
      </w:r>
      <w:r w:rsidRPr="00456AB8">
        <w:rPr>
          <w:color w:val="000000"/>
        </w:rPr>
        <w:t>. Therefore, a large number</w:t>
      </w:r>
      <w:r>
        <w:rPr>
          <w:color w:val="000000"/>
        </w:rPr>
        <w:t>s</w:t>
      </w:r>
      <w:r w:rsidRPr="00456AB8">
        <w:rPr>
          <w:color w:val="000000"/>
        </w:rPr>
        <w:t xml:space="preserve"> of researchers ha</w:t>
      </w:r>
      <w:r>
        <w:rPr>
          <w:color w:val="000000"/>
        </w:rPr>
        <w:t>ve</w:t>
      </w:r>
      <w:r w:rsidRPr="00456AB8">
        <w:rPr>
          <w:color w:val="000000"/>
        </w:rPr>
        <w:t xml:space="preserve"> been aimed on the utilization of this waste material. Nowadays, waste materials or pozzolans from industrial and</w:t>
      </w:r>
      <w:r>
        <w:rPr>
          <w:color w:val="000000"/>
        </w:rPr>
        <w:t xml:space="preserve"> agricultural by-products such as fly ash and rice husk ash are receiving more attention since their uses generally improve the properties of the blended cement concrete, the cost, and the </w:t>
      </w:r>
      <w:r w:rsidRPr="00944AD1">
        <w:rPr>
          <w:color w:val="000000"/>
        </w:rPr>
        <w:t xml:space="preserve">reduction of </w:t>
      </w:r>
      <w:r>
        <w:rPr>
          <w:color w:val="000000"/>
        </w:rPr>
        <w:t>negative environmental effects (Rukzon and Chindaprasirt, 2008</w:t>
      </w:r>
      <w:r>
        <w:rPr>
          <w:color w:val="000000"/>
          <w:lang w:val="en-US"/>
        </w:rPr>
        <w:t xml:space="preserve">; </w:t>
      </w:r>
      <w:r>
        <w:rPr>
          <w:color w:val="000000"/>
          <w:lang w:val="sk-SK"/>
        </w:rPr>
        <w:t>Chindaprasirt et al., 2008)</w:t>
      </w:r>
      <w:r w:rsidRPr="00944AD1">
        <w:rPr>
          <w:color w:val="000000"/>
        </w:rPr>
        <w:t>.</w:t>
      </w:r>
      <w:r>
        <w:rPr>
          <w:color w:val="000000"/>
        </w:rPr>
        <w:t xml:space="preserve"> </w:t>
      </w:r>
    </w:p>
    <w:p w:rsidR="00417DA4" w:rsidRPr="001D25FA" w:rsidRDefault="00417DA4" w:rsidP="001D25FA">
      <w:pPr>
        <w:rPr>
          <w:lang w:val="en-GB"/>
        </w:rPr>
      </w:pPr>
      <w:r w:rsidRPr="001D25FA">
        <w:rPr>
          <w:lang w:val="en-GB"/>
        </w:rPr>
        <w:t xml:space="preserve">Moreover, it is a well known fact in the field of construction materials that potential of some secondary raw materials can be significantly increased and used after their adjustment. The result is higher extent of valorization even of wastes that were not suitable in their original form. At the same time, parameters are improved, or new parameters appear. </w:t>
      </w:r>
      <w:r w:rsidRPr="0057213A">
        <w:rPr>
          <w:position w:val="-10"/>
          <w:lang w:val="en-GB"/>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495361707" r:id="rId8"/>
        </w:object>
      </w:r>
    </w:p>
    <w:p w:rsidR="00417DA4" w:rsidRPr="001D25FA" w:rsidRDefault="00417DA4" w:rsidP="001D25FA">
      <w:pPr>
        <w:rPr>
          <w:lang w:val="en-GB"/>
        </w:rPr>
      </w:pPr>
      <w:r w:rsidRPr="001D25FA">
        <w:rPr>
          <w:lang w:val="en-GB"/>
        </w:rPr>
        <w:t>Fly ashes in finegrain form can be used in concretes as:</w:t>
      </w:r>
    </w:p>
    <w:p w:rsidR="00417DA4" w:rsidRPr="001D25FA" w:rsidRDefault="00417DA4" w:rsidP="009A7AB0">
      <w:pPr>
        <w:pStyle w:val="ListParagraph"/>
        <w:numPr>
          <w:ilvl w:val="0"/>
          <w:numId w:val="4"/>
        </w:numPr>
        <w:rPr>
          <w:lang w:val="en-US"/>
        </w:rPr>
      </w:pPr>
      <w:r>
        <w:rPr>
          <w:lang w:val="en-US"/>
        </w:rPr>
        <w:t>a</w:t>
      </w:r>
      <w:r w:rsidRPr="009A7AB0">
        <w:rPr>
          <w:lang w:val="en-US"/>
        </w:rPr>
        <w:t>dditive</w:t>
      </w:r>
    </w:p>
    <w:p w:rsidR="00417DA4" w:rsidRPr="001D25FA" w:rsidRDefault="00417DA4" w:rsidP="009A7AB0">
      <w:pPr>
        <w:pStyle w:val="ListParagraph"/>
        <w:numPr>
          <w:ilvl w:val="0"/>
          <w:numId w:val="4"/>
        </w:numPr>
        <w:rPr>
          <w:lang w:val="en-US"/>
        </w:rPr>
      </w:pPr>
      <w:r w:rsidRPr="009A7AB0">
        <w:rPr>
          <w:lang w:val="en-US"/>
        </w:rPr>
        <w:t>component of inorganic materials for secondary protection of the concrete</w:t>
      </w:r>
      <w:r>
        <w:rPr>
          <w:lang w:val="en-US"/>
        </w:rPr>
        <w:t>.</w:t>
      </w:r>
    </w:p>
    <w:p w:rsidR="00417DA4" w:rsidRPr="001D25FA" w:rsidRDefault="00417DA4">
      <w:pPr>
        <w:rPr>
          <w:rStyle w:val="hps"/>
          <w:rFonts w:cs="Arial"/>
          <w:lang w:val="en-GB"/>
        </w:rPr>
      </w:pPr>
      <w:r w:rsidRPr="001D25FA">
        <w:rPr>
          <w:lang w:val="en-GB"/>
        </w:rPr>
        <w:t>By applying both classic and unusual adjustment methods it is possible to modify parameters of fly ashes to improve them for a particular purpose of use. Adjustment of fineness of the particles is one of the ways to improve usability of wastes and possible improvement of building materials parameters</w:t>
      </w:r>
      <w:r>
        <w:rPr>
          <w:lang w:val="en-GB"/>
        </w:rPr>
        <w:t xml:space="preserve"> (Želinková et al.,</w:t>
      </w:r>
      <w:r w:rsidRPr="00D933B5">
        <w:rPr>
          <w:lang w:val="en-GB"/>
        </w:rPr>
        <w:t xml:space="preserve"> 2013</w:t>
      </w:r>
      <w:r w:rsidRPr="00D933B5">
        <w:rPr>
          <w:lang w:val="en-US"/>
        </w:rPr>
        <w:t xml:space="preserve">; </w:t>
      </w:r>
      <w:r w:rsidRPr="00D933B5">
        <w:rPr>
          <w:lang w:val="en-GB"/>
        </w:rPr>
        <w:t>Želinková, 2014).</w:t>
      </w:r>
    </w:p>
    <w:p w:rsidR="00417DA4" w:rsidRDefault="00417DA4" w:rsidP="007E3A5D">
      <w:r w:rsidRPr="00944AD1">
        <w:rPr>
          <w:rStyle w:val="hps"/>
          <w:rFonts w:cs="Arial"/>
        </w:rPr>
        <w:t>One</w:t>
      </w:r>
      <w:r>
        <w:rPr>
          <w:rStyle w:val="hps"/>
          <w:rFonts w:cs="Arial"/>
        </w:rPr>
        <w:t xml:space="preserve"> </w:t>
      </w:r>
      <w:r w:rsidRPr="00944AD1">
        <w:rPr>
          <w:rStyle w:val="hps"/>
          <w:rFonts w:cs="Arial"/>
        </w:rPr>
        <w:t>of</w:t>
      </w:r>
      <w:r>
        <w:rPr>
          <w:rStyle w:val="hps"/>
          <w:rFonts w:cs="Arial"/>
        </w:rPr>
        <w:t xml:space="preserve"> </w:t>
      </w:r>
      <w:r w:rsidRPr="00944AD1">
        <w:rPr>
          <w:rStyle w:val="hps"/>
          <w:rFonts w:cs="Arial"/>
        </w:rPr>
        <w:t xml:space="preserve">the </w:t>
      </w:r>
      <w:r>
        <w:rPr>
          <w:rStyle w:val="hps"/>
          <w:rFonts w:cs="Arial"/>
        </w:rPr>
        <w:t>ways how to use</w:t>
      </w:r>
      <w:r w:rsidRPr="00842DB1">
        <w:rPr>
          <w:rStyle w:val="hps"/>
          <w:rFonts w:cs="Arial"/>
        </w:rPr>
        <w:t xml:space="preserve"> </w:t>
      </w:r>
      <w:r w:rsidRPr="00842DB1">
        <w:t>fl</w:t>
      </w:r>
      <w:r w:rsidRPr="00944AD1">
        <w:t>y</w:t>
      </w:r>
      <w:r w:rsidRPr="00944AD1">
        <w:rPr>
          <w:rStyle w:val="hps"/>
          <w:rFonts w:cs="Arial"/>
        </w:rPr>
        <w:t xml:space="preserve"> ash</w:t>
      </w:r>
      <w:r w:rsidRPr="00944AD1">
        <w:t xml:space="preserve"> is preparing </w:t>
      </w:r>
      <w:r w:rsidRPr="00944AD1">
        <w:rPr>
          <w:rStyle w:val="hps"/>
          <w:rFonts w:cs="Arial"/>
        </w:rPr>
        <w:t>geopolymer</w:t>
      </w:r>
      <w:r>
        <w:rPr>
          <w:rStyle w:val="hps"/>
          <w:rFonts w:cs="Arial"/>
        </w:rPr>
        <w:t xml:space="preserve"> </w:t>
      </w:r>
      <w:r w:rsidRPr="00944AD1">
        <w:rPr>
          <w:rStyle w:val="hps"/>
          <w:rFonts w:cs="Arial"/>
        </w:rPr>
        <w:t>mixtures</w:t>
      </w:r>
      <w:r>
        <w:rPr>
          <w:rStyle w:val="hps"/>
          <w:rFonts w:cs="Arial"/>
        </w:rPr>
        <w:t xml:space="preserve">. </w:t>
      </w:r>
      <w:r w:rsidRPr="00944AD1">
        <w:t>Geopolymers</w:t>
      </w:r>
      <w:r>
        <w:t xml:space="preserve"> fall into</w:t>
      </w:r>
      <w:r w:rsidRPr="00944AD1">
        <w:t xml:space="preserve"> a class of aluminosilicate binding materials synthe</w:t>
      </w:r>
      <w:r>
        <w:t>t</w:t>
      </w:r>
      <w:r w:rsidRPr="00944AD1">
        <w:t xml:space="preserve">ized by </w:t>
      </w:r>
      <w:r>
        <w:t xml:space="preserve">alkali </w:t>
      </w:r>
      <w:r w:rsidRPr="00944AD1">
        <w:t xml:space="preserve">activation of solid aluminosilicate </w:t>
      </w:r>
      <w:r>
        <w:t>raw</w:t>
      </w:r>
      <w:r w:rsidRPr="00944AD1">
        <w:t xml:space="preserve"> materials such a</w:t>
      </w:r>
      <w:r>
        <w:t xml:space="preserve">s fly ash, GGBS (ground granulated blast furnace slag) etc., </w:t>
      </w:r>
      <w:r w:rsidRPr="00944AD1">
        <w:t>with an alkali metal hydroxide and silicate solution. The utilization of fly ash in the development of geopolymeric materials for construction purposes has been and</w:t>
      </w:r>
      <w:r>
        <w:t xml:space="preserve"> </w:t>
      </w:r>
      <w:r w:rsidRPr="00456AB8">
        <w:t>still continues to be a</w:t>
      </w:r>
      <w:r>
        <w:t xml:space="preserve"> </w:t>
      </w:r>
      <w:r w:rsidRPr="00456AB8">
        <w:t>subject</w:t>
      </w:r>
      <w:r w:rsidRPr="00944AD1">
        <w:t xml:space="preserve"> of many research </w:t>
      </w:r>
      <w:r>
        <w:t>studies (</w:t>
      </w:r>
      <w:r>
        <w:rPr>
          <w:lang w:val="en-US"/>
        </w:rPr>
        <w:t xml:space="preserve">Balaguru et al., 2004; </w:t>
      </w:r>
      <w:r>
        <w:t>Davidovits, 2008; Ravindra and Ghosh, 2009</w:t>
      </w:r>
      <w:r>
        <w:rPr>
          <w:lang w:val="en-US"/>
        </w:rPr>
        <w:t xml:space="preserve">; </w:t>
      </w:r>
      <w:r>
        <w:t>Temuujin et al., 2010)</w:t>
      </w:r>
      <w:r w:rsidRPr="004938FD">
        <w:t xml:space="preserve">. </w:t>
      </w:r>
    </w:p>
    <w:p w:rsidR="00417DA4" w:rsidRPr="00C32B99" w:rsidRDefault="00417DA4" w:rsidP="007E3A5D">
      <w:pPr>
        <w:rPr>
          <w:lang w:val="sk-SK"/>
        </w:rPr>
      </w:pPr>
      <w:r>
        <w:t xml:space="preserve">The effect of the fineness of </w:t>
      </w:r>
      <w:r w:rsidRPr="004938FD">
        <w:t xml:space="preserve">fly ash on geopolymer materials properties is also widely discussed. </w:t>
      </w:r>
      <w:r>
        <w:t xml:space="preserve">Changes induced in material during the mechanical activation process include reduction in particle size, changes in particle morphology, increase in specific surface area, </w:t>
      </w:r>
      <w:r w:rsidRPr="006C2F3B">
        <w:t>structural defects formation</w:t>
      </w:r>
      <w:r>
        <w:t xml:space="preserve">, decrease in crystallinity degree, implying structural rearrangement. The most important consequence of transformation that occurs in material during the mechanical activation is its enhanced reactivity. Mechanical activation, as a method which can improve FA reactivity, is often applied for different applications of this material. Improved reactivity is primarily the result of increased particle </w:t>
      </w:r>
      <w:r w:rsidRPr="008A7BD2">
        <w:t>fineness and</w:t>
      </w:r>
      <w:r>
        <w:t xml:space="preserve"> formation of amorphous regins in structure. Finer particles of FA represent more reactive material without extra mechanical treatment. It is known that particles below 45 µm, obtained through various methods of separation, tend to improvement of mechanical strength of mortar when used as a supplementary cementitious material (Marjanović et al., 2014)</w:t>
      </w:r>
      <w:r w:rsidRPr="00F9259B">
        <w:t>.</w:t>
      </w:r>
      <w:r>
        <w:t xml:space="preserve"> Although there are numerous data relating to the mechanical activation of FA, the literature concerning the application of mechanically activated FA for the geopolymer synthesis is rather scarce. The main advantage of using mechanically activated FA in synthesis of geopolymers is the possibility of total utilization of FA, and not only its specific </w:t>
      </w:r>
      <w:r>
        <w:rPr>
          <w:lang w:val="sk-SK"/>
        </w:rPr>
        <w:t xml:space="preserve">(finer) fraction. </w:t>
      </w:r>
    </w:p>
    <w:p w:rsidR="00417DA4" w:rsidRDefault="00417DA4" w:rsidP="007E3A5D">
      <w:pPr>
        <w:rPr>
          <w:lang w:val="en-GB"/>
        </w:rPr>
      </w:pPr>
      <w:r w:rsidRPr="00944AD1">
        <w:rPr>
          <w:lang w:val="en-GB"/>
        </w:rPr>
        <w:t xml:space="preserve">This paper is engaged to possibilities of preparing </w:t>
      </w:r>
      <w:r>
        <w:rPr>
          <w:lang w:val="en-GB"/>
        </w:rPr>
        <w:t xml:space="preserve">the </w:t>
      </w:r>
      <w:r w:rsidRPr="00944AD1">
        <w:rPr>
          <w:lang w:val="en-GB"/>
        </w:rPr>
        <w:t>geopolymer mixtures based on modified</w:t>
      </w:r>
      <w:r>
        <w:rPr>
          <w:lang w:val="en-GB"/>
        </w:rPr>
        <w:t xml:space="preserve"> (ground)</w:t>
      </w:r>
      <w:r w:rsidRPr="00944AD1">
        <w:rPr>
          <w:lang w:val="en-GB"/>
        </w:rPr>
        <w:t xml:space="preserve"> fly ash, which was used in </w:t>
      </w:r>
      <w:r>
        <w:rPr>
          <w:lang w:val="en-GB"/>
        </w:rPr>
        <w:t xml:space="preserve">specific percentage combinations with </w:t>
      </w:r>
      <w:r w:rsidRPr="00944AD1">
        <w:rPr>
          <w:lang w:val="en-GB"/>
        </w:rPr>
        <w:t>unground</w:t>
      </w:r>
      <w:r w:rsidRPr="00944AD1">
        <w:t xml:space="preserve"> (original) fly ash</w:t>
      </w:r>
      <w:r w:rsidRPr="00944AD1">
        <w:rPr>
          <w:lang w:val="en-GB"/>
        </w:rPr>
        <w:t>.</w:t>
      </w:r>
      <w:r>
        <w:rPr>
          <w:lang w:val="en-GB"/>
        </w:rPr>
        <w:t xml:space="preserve"> </w:t>
      </w:r>
      <w:r w:rsidRPr="00BA5CA5">
        <w:rPr>
          <w:rStyle w:val="5yl5"/>
          <w:rFonts w:cs="Arial"/>
        </w:rPr>
        <w:t>As a modification, sludge</w:t>
      </w:r>
      <w:r>
        <w:rPr>
          <w:rStyle w:val="5yl5"/>
          <w:rFonts w:cs="Arial"/>
        </w:rPr>
        <w:t xml:space="preserve"> </w:t>
      </w:r>
      <w:r w:rsidRPr="00BA5CA5">
        <w:rPr>
          <w:rStyle w:val="5yl5"/>
          <w:rFonts w:cs="Arial"/>
        </w:rPr>
        <w:t>from process of washing the crushed aggregates was used into the next mixture as filler. Finally, standard cement mixture using the same filler was prepared for testing</w:t>
      </w:r>
      <w:r>
        <w:rPr>
          <w:rStyle w:val="5yl5"/>
          <w:rFonts w:cs="Arial"/>
        </w:rPr>
        <w:t xml:space="preserve">. </w:t>
      </w:r>
      <w:r w:rsidRPr="00BE609E">
        <w:rPr>
          <w:lang w:val="en-GB"/>
        </w:rPr>
        <w:t xml:space="preserve">The results were analysed in the terms of possible application </w:t>
      </w:r>
      <w:r>
        <w:rPr>
          <w:lang w:val="en-GB"/>
        </w:rPr>
        <w:t>to protect of surface of concrete by coating</w:t>
      </w:r>
      <w:r w:rsidRPr="00BE609E">
        <w:rPr>
          <w:lang w:val="en-GB"/>
        </w:rPr>
        <w:t>.</w:t>
      </w:r>
    </w:p>
    <w:p w:rsidR="00417DA4" w:rsidRPr="00D933B5" w:rsidRDefault="00417DA4" w:rsidP="007E3A5D">
      <w:pPr>
        <w:numPr>
          <w:ilvl w:val="0"/>
          <w:numId w:val="1"/>
        </w:numPr>
        <w:rPr>
          <w:b/>
          <w:bCs/>
          <w:sz w:val="28"/>
          <w:szCs w:val="28"/>
          <w:lang w:val="en-US"/>
        </w:rPr>
      </w:pPr>
      <w:r w:rsidRPr="00D933B5">
        <w:rPr>
          <w:b/>
          <w:bCs/>
          <w:sz w:val="28"/>
          <w:szCs w:val="28"/>
          <w:lang w:val="en-US"/>
        </w:rPr>
        <w:t>Materials and Methods</w:t>
      </w:r>
    </w:p>
    <w:p w:rsidR="00417DA4" w:rsidRPr="001B6F54" w:rsidRDefault="00417DA4" w:rsidP="001B6F54">
      <w:pPr>
        <w:rPr>
          <w:lang w:val="en-US"/>
        </w:rPr>
      </w:pPr>
      <w:r w:rsidRPr="001B6F54">
        <w:rPr>
          <w:lang w:val="en-US"/>
        </w:rPr>
        <w:t>The materials for tested mixtures were as follows:</w:t>
      </w:r>
    </w:p>
    <w:p w:rsidR="00417DA4" w:rsidRPr="001B6F54" w:rsidRDefault="00417DA4" w:rsidP="001B6F54">
      <w:pPr>
        <w:pStyle w:val="ListParagraph"/>
        <w:numPr>
          <w:ilvl w:val="0"/>
          <w:numId w:val="4"/>
        </w:numPr>
        <w:rPr>
          <w:lang w:val="en-US"/>
        </w:rPr>
      </w:pPr>
      <w:r w:rsidRPr="001B6F54">
        <w:rPr>
          <w:lang w:val="en-US"/>
        </w:rPr>
        <w:t>Original fly ash - PVT (from Heating plant Ko</w:t>
      </w:r>
      <w:r>
        <w:rPr>
          <w:lang w:val="en-US"/>
        </w:rPr>
        <w:t>s</w:t>
      </w:r>
      <w:r w:rsidRPr="001B6F54">
        <w:rPr>
          <w:lang w:val="en-US"/>
        </w:rPr>
        <w:t>ice). The calcium oxide content of fly ash is less than 10%; hence it can be classified as Class F according to ASTM 618 standard,</w:t>
      </w:r>
    </w:p>
    <w:p w:rsidR="00417DA4" w:rsidRPr="001B6F54" w:rsidRDefault="00417DA4" w:rsidP="001B6F54">
      <w:pPr>
        <w:pStyle w:val="ListParagraph"/>
        <w:numPr>
          <w:ilvl w:val="0"/>
          <w:numId w:val="4"/>
        </w:numPr>
        <w:rPr>
          <w:lang w:val="en-US"/>
        </w:rPr>
      </w:pPr>
      <w:r w:rsidRPr="001B6F54">
        <w:rPr>
          <w:lang w:val="en-US"/>
        </w:rPr>
        <w:t>Ground fly ash - T60S1:  the same fly ash (time of grinding: 60 minutes, grinding ratio – mass of ground material to mass of grinding balls: 1/17),</w:t>
      </w:r>
    </w:p>
    <w:p w:rsidR="00417DA4" w:rsidRPr="001B6F54" w:rsidRDefault="00417DA4" w:rsidP="001B6F54">
      <w:pPr>
        <w:pStyle w:val="ListParagraph"/>
        <w:numPr>
          <w:ilvl w:val="0"/>
          <w:numId w:val="4"/>
        </w:numPr>
        <w:rPr>
          <w:lang w:val="en-US"/>
        </w:rPr>
      </w:pPr>
      <w:r w:rsidRPr="001B6F54">
        <w:rPr>
          <w:lang w:val="en-US"/>
        </w:rPr>
        <w:t>Ground granulated blast furnace slag (GGBFS):  as geopolymer intensificator,</w:t>
      </w:r>
    </w:p>
    <w:p w:rsidR="00417DA4" w:rsidRPr="001B6F54" w:rsidRDefault="00417DA4" w:rsidP="001B6F54">
      <w:pPr>
        <w:pStyle w:val="ListParagraph"/>
        <w:numPr>
          <w:ilvl w:val="0"/>
          <w:numId w:val="4"/>
        </w:numPr>
        <w:rPr>
          <w:lang w:val="en-US"/>
        </w:rPr>
      </w:pPr>
      <w:r w:rsidRPr="001B6F54">
        <w:rPr>
          <w:lang w:val="en-US"/>
        </w:rPr>
        <w:t>Na</w:t>
      </w:r>
      <w:r w:rsidRPr="00E51630">
        <w:rPr>
          <w:vertAlign w:val="subscript"/>
          <w:lang w:val="en-US"/>
        </w:rPr>
        <w:t>2</w:t>
      </w:r>
      <w:r w:rsidRPr="001B6F54">
        <w:rPr>
          <w:lang w:val="en-US"/>
        </w:rPr>
        <w:t>SiO</w:t>
      </w:r>
      <w:r w:rsidRPr="00E51630">
        <w:rPr>
          <w:vertAlign w:val="subscript"/>
          <w:lang w:val="en-US"/>
        </w:rPr>
        <w:t>3</w:t>
      </w:r>
      <w:r w:rsidRPr="001B6F54">
        <w:rPr>
          <w:lang w:val="en-US"/>
        </w:rPr>
        <w:t>+ NaOH as geopolymer activator,</w:t>
      </w:r>
    </w:p>
    <w:p w:rsidR="00417DA4" w:rsidRPr="001B6F54" w:rsidRDefault="00417DA4" w:rsidP="001B6F54">
      <w:pPr>
        <w:pStyle w:val="ListParagraph"/>
        <w:numPr>
          <w:ilvl w:val="0"/>
          <w:numId w:val="4"/>
        </w:numPr>
        <w:rPr>
          <w:lang w:val="en-US"/>
        </w:rPr>
      </w:pPr>
      <w:r w:rsidRPr="001B6F54">
        <w:rPr>
          <w:lang w:val="en-US"/>
        </w:rPr>
        <w:t xml:space="preserve">Sludge, the material from process of washing the crushed aggregates, coming from the sludge bed </w:t>
      </w:r>
      <w:r>
        <w:rPr>
          <w:lang w:val="en-US"/>
        </w:rPr>
        <w:t xml:space="preserve">of the IS - </w:t>
      </w:r>
      <w:r w:rsidRPr="001B6F54">
        <w:rPr>
          <w:lang w:val="en-US"/>
        </w:rPr>
        <w:t>Lom s. r. o, Maglovec,</w:t>
      </w:r>
    </w:p>
    <w:p w:rsidR="00417DA4" w:rsidRPr="001B6F54" w:rsidRDefault="00417DA4" w:rsidP="001B6F54">
      <w:pPr>
        <w:pStyle w:val="ListParagraph"/>
        <w:numPr>
          <w:ilvl w:val="0"/>
          <w:numId w:val="4"/>
        </w:numPr>
        <w:rPr>
          <w:lang w:val="en-US"/>
        </w:rPr>
      </w:pPr>
      <w:r w:rsidRPr="001B6F54">
        <w:rPr>
          <w:lang w:val="en-US"/>
        </w:rPr>
        <w:t>Ordinary Portland Cement (CEM I 42.5 R, Holcim, Turna nad Bodvou).</w:t>
      </w:r>
    </w:p>
    <w:p w:rsidR="00417DA4" w:rsidRPr="00A27174" w:rsidRDefault="00417DA4" w:rsidP="00A27174">
      <w:pPr>
        <w:rPr>
          <w:lang w:val="en-US"/>
        </w:rPr>
      </w:pPr>
      <w:r w:rsidRPr="00A27174">
        <w:rPr>
          <w:lang w:val="en-US"/>
        </w:rPr>
        <w:t>The granulometric and chemical composition of fly ashes, GGBFS, cement, sludge (fraction under 125 μm sieved from unground sludge) are given in Tab. 1, also in Tab. 2 (granulometric composition of unground sludge by sieving). The granulometric composition is expressed by following parameters – grain size: d (0.1) – indicates that 10% of the whole amount of investigated sample is under measured value of the particle size and the similar parameters d (0.5) – 50%, d (0.9) – 90% and the parameter d</w:t>
      </w:r>
      <w:r w:rsidRPr="00674AFE">
        <w:rPr>
          <w:vertAlign w:val="subscript"/>
          <w:lang w:val="en-US"/>
        </w:rPr>
        <w:t>m</w:t>
      </w:r>
      <w:r w:rsidRPr="00A27174">
        <w:rPr>
          <w:lang w:val="en-US"/>
        </w:rPr>
        <w:t xml:space="preserve"> - mean particle diameter.</w:t>
      </w:r>
    </w:p>
    <w:p w:rsidR="00417DA4" w:rsidRDefault="00417DA4" w:rsidP="00E51630">
      <w:pPr>
        <w:rPr>
          <w:lang w:val="en-US"/>
        </w:rPr>
      </w:pPr>
      <w:r w:rsidRPr="00ED3E6E">
        <w:rPr>
          <w:b/>
          <w:bCs/>
          <w:lang w:val="en-US"/>
        </w:rPr>
        <w:t>Table 1.</w:t>
      </w:r>
      <w:r w:rsidRPr="00ED3E6E">
        <w:rPr>
          <w:lang w:val="en-US"/>
        </w:rPr>
        <w:t xml:space="preserve"> </w:t>
      </w:r>
      <w:r w:rsidRPr="00E51630">
        <w:rPr>
          <w:lang w:val="en-US"/>
        </w:rPr>
        <w:t>Chemical composition and results of granulometric analysis of input materials</w:t>
      </w:r>
    </w:p>
    <w:tbl>
      <w:tblPr>
        <w:tblW w:w="9513" w:type="dxa"/>
        <w:tblInd w:w="-68" w:type="dxa"/>
        <w:tblLayout w:type="fixed"/>
        <w:tblCellMar>
          <w:left w:w="70" w:type="dxa"/>
          <w:right w:w="70" w:type="dxa"/>
        </w:tblCellMar>
        <w:tblLook w:val="00A0"/>
      </w:tblPr>
      <w:tblGrid>
        <w:gridCol w:w="1770"/>
        <w:gridCol w:w="675"/>
        <w:gridCol w:w="675"/>
        <w:gridCol w:w="674"/>
        <w:gridCol w:w="757"/>
        <w:gridCol w:w="739"/>
        <w:gridCol w:w="679"/>
        <w:gridCol w:w="709"/>
        <w:gridCol w:w="708"/>
        <w:gridCol w:w="709"/>
        <w:gridCol w:w="709"/>
        <w:gridCol w:w="709"/>
      </w:tblGrid>
      <w:tr w:rsidR="00417DA4" w:rsidRPr="00E51630">
        <w:trPr>
          <w:trHeight w:val="308"/>
        </w:trPr>
        <w:tc>
          <w:tcPr>
            <w:tcW w:w="1770" w:type="dxa"/>
            <w:tcBorders>
              <w:top w:val="single" w:sz="8" w:space="0" w:color="auto"/>
              <w:left w:val="nil"/>
              <w:bottom w:val="single" w:sz="18" w:space="0" w:color="auto"/>
              <w:right w:val="nil"/>
            </w:tcBorders>
            <w:noWrap/>
            <w:vAlign w:val="bottom"/>
          </w:tcPr>
          <w:p w:rsidR="00417DA4" w:rsidRPr="00E51630" w:rsidRDefault="00417DA4" w:rsidP="00E51630">
            <w:pPr>
              <w:pStyle w:val="NoSpacing"/>
              <w:jc w:val="center"/>
              <w:rPr>
                <w:b/>
                <w:bCs/>
                <w:sz w:val="20"/>
                <w:szCs w:val="20"/>
                <w:lang w:val="en-US"/>
              </w:rPr>
            </w:pPr>
          </w:p>
        </w:tc>
        <w:tc>
          <w:tcPr>
            <w:tcW w:w="4908" w:type="dxa"/>
            <w:gridSpan w:val="7"/>
            <w:tcBorders>
              <w:top w:val="single" w:sz="8" w:space="0" w:color="auto"/>
              <w:left w:val="single" w:sz="4" w:space="0" w:color="auto"/>
              <w:bottom w:val="single" w:sz="18" w:space="0" w:color="auto"/>
              <w:right w:val="single" w:sz="4" w:space="0" w:color="000000"/>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Oxide Composition [%]</w:t>
            </w:r>
          </w:p>
        </w:tc>
        <w:tc>
          <w:tcPr>
            <w:tcW w:w="2835" w:type="dxa"/>
            <w:gridSpan w:val="4"/>
            <w:tcBorders>
              <w:top w:val="single" w:sz="8" w:space="0" w:color="auto"/>
              <w:left w:val="nil"/>
              <w:bottom w:val="single" w:sz="18" w:space="0" w:color="auto"/>
              <w:right w:val="nil"/>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Grain size [μm]</w:t>
            </w:r>
          </w:p>
        </w:tc>
      </w:tr>
      <w:tr w:rsidR="00417DA4" w:rsidRPr="00E51630">
        <w:trPr>
          <w:trHeight w:val="287"/>
        </w:trPr>
        <w:tc>
          <w:tcPr>
            <w:tcW w:w="1770" w:type="dxa"/>
            <w:tcBorders>
              <w:top w:val="single" w:sz="18" w:space="0" w:color="auto"/>
              <w:left w:val="nil"/>
              <w:bottom w:val="single" w:sz="18" w:space="0" w:color="auto"/>
              <w:right w:val="single" w:sz="18" w:space="0" w:color="auto"/>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Materials</w:t>
            </w:r>
          </w:p>
        </w:tc>
        <w:tc>
          <w:tcPr>
            <w:tcW w:w="675" w:type="dxa"/>
            <w:tcBorders>
              <w:top w:val="single" w:sz="18" w:space="0" w:color="auto"/>
              <w:left w:val="single" w:sz="18" w:space="0" w:color="auto"/>
              <w:bottom w:val="single" w:sz="18" w:space="0" w:color="auto"/>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SiO2</w:t>
            </w:r>
          </w:p>
        </w:tc>
        <w:tc>
          <w:tcPr>
            <w:tcW w:w="675" w:type="dxa"/>
            <w:tcBorders>
              <w:top w:val="single" w:sz="18" w:space="0" w:color="auto"/>
              <w:bottom w:val="single" w:sz="18" w:space="0" w:color="auto"/>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CaO</w:t>
            </w:r>
          </w:p>
        </w:tc>
        <w:tc>
          <w:tcPr>
            <w:tcW w:w="674" w:type="dxa"/>
            <w:tcBorders>
              <w:top w:val="single" w:sz="18" w:space="0" w:color="auto"/>
              <w:bottom w:val="single" w:sz="18" w:space="0" w:color="auto"/>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MgO</w:t>
            </w:r>
          </w:p>
        </w:tc>
        <w:tc>
          <w:tcPr>
            <w:tcW w:w="757" w:type="dxa"/>
            <w:tcBorders>
              <w:top w:val="single" w:sz="18" w:space="0" w:color="auto"/>
              <w:bottom w:val="single" w:sz="18" w:space="0" w:color="auto"/>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Fe</w:t>
            </w:r>
            <w:r w:rsidRPr="001F6075">
              <w:rPr>
                <w:b/>
                <w:bCs/>
                <w:sz w:val="20"/>
                <w:szCs w:val="20"/>
                <w:vertAlign w:val="subscript"/>
                <w:lang w:val="en-US"/>
              </w:rPr>
              <w:t>2</w:t>
            </w:r>
            <w:r w:rsidRPr="00E51630">
              <w:rPr>
                <w:b/>
                <w:bCs/>
                <w:sz w:val="20"/>
                <w:szCs w:val="20"/>
                <w:lang w:val="en-US"/>
              </w:rPr>
              <w:t>O</w:t>
            </w:r>
            <w:r w:rsidRPr="001F6075">
              <w:rPr>
                <w:b/>
                <w:bCs/>
                <w:sz w:val="20"/>
                <w:szCs w:val="20"/>
                <w:vertAlign w:val="subscript"/>
                <w:lang w:val="en-US"/>
              </w:rPr>
              <w:t>3</w:t>
            </w:r>
          </w:p>
        </w:tc>
        <w:tc>
          <w:tcPr>
            <w:tcW w:w="739" w:type="dxa"/>
            <w:tcBorders>
              <w:top w:val="single" w:sz="18" w:space="0" w:color="auto"/>
              <w:bottom w:val="single" w:sz="18" w:space="0" w:color="auto"/>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Al</w:t>
            </w:r>
            <w:r w:rsidRPr="001F6075">
              <w:rPr>
                <w:b/>
                <w:bCs/>
                <w:sz w:val="20"/>
                <w:szCs w:val="20"/>
                <w:vertAlign w:val="subscript"/>
                <w:lang w:val="en-US"/>
              </w:rPr>
              <w:t>2</w:t>
            </w:r>
            <w:r w:rsidRPr="00E51630">
              <w:rPr>
                <w:b/>
                <w:bCs/>
                <w:sz w:val="20"/>
                <w:szCs w:val="20"/>
                <w:lang w:val="en-US"/>
              </w:rPr>
              <w:t>O</w:t>
            </w:r>
            <w:r w:rsidRPr="001F6075">
              <w:rPr>
                <w:b/>
                <w:bCs/>
                <w:sz w:val="20"/>
                <w:szCs w:val="20"/>
                <w:vertAlign w:val="subscript"/>
                <w:lang w:val="en-US"/>
              </w:rPr>
              <w:t>3</w:t>
            </w:r>
          </w:p>
        </w:tc>
        <w:tc>
          <w:tcPr>
            <w:tcW w:w="679" w:type="dxa"/>
            <w:tcBorders>
              <w:top w:val="single" w:sz="18" w:space="0" w:color="auto"/>
              <w:bottom w:val="single" w:sz="18" w:space="0" w:color="auto"/>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TiO</w:t>
            </w:r>
            <w:r w:rsidRPr="001F6075">
              <w:rPr>
                <w:b/>
                <w:bCs/>
                <w:sz w:val="20"/>
                <w:szCs w:val="20"/>
                <w:vertAlign w:val="subscript"/>
                <w:lang w:val="en-US"/>
              </w:rPr>
              <w:t>2</w:t>
            </w:r>
          </w:p>
        </w:tc>
        <w:tc>
          <w:tcPr>
            <w:tcW w:w="709" w:type="dxa"/>
            <w:tcBorders>
              <w:top w:val="single" w:sz="18" w:space="0" w:color="auto"/>
              <w:bottom w:val="single" w:sz="18" w:space="0" w:color="auto"/>
              <w:right w:val="single" w:sz="18" w:space="0" w:color="auto"/>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K</w:t>
            </w:r>
            <w:r w:rsidRPr="001F6075">
              <w:rPr>
                <w:b/>
                <w:bCs/>
                <w:sz w:val="20"/>
                <w:szCs w:val="20"/>
                <w:vertAlign w:val="subscript"/>
                <w:lang w:val="en-US"/>
              </w:rPr>
              <w:t>2</w:t>
            </w:r>
            <w:r w:rsidRPr="00E51630">
              <w:rPr>
                <w:b/>
                <w:bCs/>
                <w:sz w:val="20"/>
                <w:szCs w:val="20"/>
                <w:lang w:val="en-US"/>
              </w:rPr>
              <w:t>O</w:t>
            </w:r>
          </w:p>
        </w:tc>
        <w:tc>
          <w:tcPr>
            <w:tcW w:w="708" w:type="dxa"/>
            <w:tcBorders>
              <w:top w:val="single" w:sz="18" w:space="0" w:color="auto"/>
              <w:left w:val="single" w:sz="18" w:space="0" w:color="auto"/>
              <w:bottom w:val="single" w:sz="18" w:space="0" w:color="auto"/>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 xml:space="preserve">d(0.1) </w:t>
            </w:r>
          </w:p>
        </w:tc>
        <w:tc>
          <w:tcPr>
            <w:tcW w:w="709" w:type="dxa"/>
            <w:tcBorders>
              <w:top w:val="single" w:sz="18" w:space="0" w:color="auto"/>
              <w:bottom w:val="single" w:sz="18" w:space="0" w:color="auto"/>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d(0.5)</w:t>
            </w:r>
          </w:p>
        </w:tc>
        <w:tc>
          <w:tcPr>
            <w:tcW w:w="709" w:type="dxa"/>
            <w:tcBorders>
              <w:top w:val="single" w:sz="18" w:space="0" w:color="auto"/>
              <w:bottom w:val="single" w:sz="18" w:space="0" w:color="auto"/>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d(0.9)</w:t>
            </w:r>
          </w:p>
        </w:tc>
        <w:tc>
          <w:tcPr>
            <w:tcW w:w="709" w:type="dxa"/>
            <w:tcBorders>
              <w:top w:val="single" w:sz="18" w:space="0" w:color="auto"/>
              <w:bottom w:val="single" w:sz="18" w:space="0" w:color="auto"/>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d</w:t>
            </w:r>
            <w:r w:rsidRPr="00674AFE">
              <w:rPr>
                <w:b/>
                <w:bCs/>
                <w:sz w:val="20"/>
                <w:szCs w:val="20"/>
                <w:vertAlign w:val="subscript"/>
                <w:lang w:val="en-US"/>
              </w:rPr>
              <w:t>m</w:t>
            </w:r>
          </w:p>
        </w:tc>
      </w:tr>
      <w:tr w:rsidR="00417DA4" w:rsidRPr="00E51630">
        <w:trPr>
          <w:trHeight w:val="308"/>
        </w:trPr>
        <w:tc>
          <w:tcPr>
            <w:tcW w:w="1770" w:type="dxa"/>
            <w:tcBorders>
              <w:top w:val="single" w:sz="18" w:space="0" w:color="auto"/>
              <w:left w:val="nil"/>
              <w:bottom w:val="nil"/>
              <w:right w:val="nil"/>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PVT (unground)</w:t>
            </w:r>
          </w:p>
        </w:tc>
        <w:tc>
          <w:tcPr>
            <w:tcW w:w="675" w:type="dxa"/>
            <w:tcBorders>
              <w:top w:val="single" w:sz="18" w:space="0" w:color="auto"/>
              <w:left w:val="single" w:sz="4" w:space="0" w:color="auto"/>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51.11</w:t>
            </w:r>
          </w:p>
        </w:tc>
        <w:tc>
          <w:tcPr>
            <w:tcW w:w="675" w:type="dxa"/>
            <w:tcBorders>
              <w:top w:val="single" w:sz="18" w:space="0" w:color="auto"/>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2.58</w:t>
            </w:r>
          </w:p>
        </w:tc>
        <w:tc>
          <w:tcPr>
            <w:tcW w:w="674" w:type="dxa"/>
            <w:tcBorders>
              <w:top w:val="single" w:sz="18" w:space="0" w:color="auto"/>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1.18</w:t>
            </w:r>
          </w:p>
        </w:tc>
        <w:tc>
          <w:tcPr>
            <w:tcW w:w="757" w:type="dxa"/>
            <w:tcBorders>
              <w:top w:val="single" w:sz="18" w:space="0" w:color="auto"/>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6.40</w:t>
            </w:r>
          </w:p>
        </w:tc>
        <w:tc>
          <w:tcPr>
            <w:tcW w:w="739" w:type="dxa"/>
            <w:tcBorders>
              <w:top w:val="single" w:sz="18" w:space="0" w:color="auto"/>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23.21</w:t>
            </w:r>
          </w:p>
        </w:tc>
        <w:tc>
          <w:tcPr>
            <w:tcW w:w="679" w:type="dxa"/>
            <w:tcBorders>
              <w:top w:val="single" w:sz="18" w:space="0" w:color="auto"/>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0.96</w:t>
            </w:r>
          </w:p>
        </w:tc>
        <w:tc>
          <w:tcPr>
            <w:tcW w:w="709" w:type="dxa"/>
            <w:tcBorders>
              <w:top w:val="single" w:sz="18" w:space="0" w:color="auto"/>
              <w:left w:val="nil"/>
              <w:bottom w:val="nil"/>
              <w:right w:val="single" w:sz="4" w:space="0" w:color="auto"/>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1.81</w:t>
            </w:r>
          </w:p>
        </w:tc>
        <w:tc>
          <w:tcPr>
            <w:tcW w:w="708" w:type="dxa"/>
            <w:tcBorders>
              <w:top w:val="single" w:sz="18" w:space="0" w:color="auto"/>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3.97</w:t>
            </w:r>
          </w:p>
        </w:tc>
        <w:tc>
          <w:tcPr>
            <w:tcW w:w="709" w:type="dxa"/>
            <w:tcBorders>
              <w:top w:val="single" w:sz="18" w:space="0" w:color="auto"/>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20.44</w:t>
            </w:r>
          </w:p>
        </w:tc>
        <w:tc>
          <w:tcPr>
            <w:tcW w:w="709" w:type="dxa"/>
            <w:tcBorders>
              <w:top w:val="single" w:sz="18" w:space="0" w:color="auto"/>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84.73</w:t>
            </w:r>
          </w:p>
        </w:tc>
        <w:tc>
          <w:tcPr>
            <w:tcW w:w="709" w:type="dxa"/>
            <w:tcBorders>
              <w:top w:val="single" w:sz="18" w:space="0" w:color="auto"/>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74.10</w:t>
            </w:r>
          </w:p>
        </w:tc>
      </w:tr>
      <w:tr w:rsidR="00417DA4" w:rsidRPr="00E51630">
        <w:trPr>
          <w:trHeight w:val="308"/>
        </w:trPr>
        <w:tc>
          <w:tcPr>
            <w:tcW w:w="1770" w:type="dxa"/>
            <w:tcBorders>
              <w:top w:val="nil"/>
              <w:left w:val="nil"/>
              <w:bottom w:val="nil"/>
              <w:right w:val="nil"/>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T60S1 (ground)</w:t>
            </w:r>
          </w:p>
        </w:tc>
        <w:tc>
          <w:tcPr>
            <w:tcW w:w="675" w:type="dxa"/>
            <w:tcBorders>
              <w:top w:val="nil"/>
              <w:left w:val="single" w:sz="4" w:space="0" w:color="auto"/>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49.72</w:t>
            </w:r>
          </w:p>
        </w:tc>
        <w:tc>
          <w:tcPr>
            <w:tcW w:w="675"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2.49</w:t>
            </w:r>
          </w:p>
        </w:tc>
        <w:tc>
          <w:tcPr>
            <w:tcW w:w="674"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1.09</w:t>
            </w:r>
          </w:p>
        </w:tc>
        <w:tc>
          <w:tcPr>
            <w:tcW w:w="757"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6.37</w:t>
            </w:r>
          </w:p>
        </w:tc>
        <w:tc>
          <w:tcPr>
            <w:tcW w:w="739"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22.32</w:t>
            </w:r>
          </w:p>
        </w:tc>
        <w:tc>
          <w:tcPr>
            <w:tcW w:w="679"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0.94</w:t>
            </w:r>
          </w:p>
        </w:tc>
        <w:tc>
          <w:tcPr>
            <w:tcW w:w="709" w:type="dxa"/>
            <w:tcBorders>
              <w:top w:val="nil"/>
              <w:left w:val="nil"/>
              <w:bottom w:val="nil"/>
              <w:right w:val="single" w:sz="4" w:space="0" w:color="auto"/>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1.73 </w:t>
            </w:r>
          </w:p>
        </w:tc>
        <w:tc>
          <w:tcPr>
            <w:tcW w:w="708"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3.48</w:t>
            </w:r>
          </w:p>
        </w:tc>
        <w:tc>
          <w:tcPr>
            <w:tcW w:w="709"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14.53</w:t>
            </w:r>
          </w:p>
        </w:tc>
        <w:tc>
          <w:tcPr>
            <w:tcW w:w="709"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52.81</w:t>
            </w:r>
          </w:p>
        </w:tc>
        <w:tc>
          <w:tcPr>
            <w:tcW w:w="709"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31.02</w:t>
            </w:r>
          </w:p>
        </w:tc>
      </w:tr>
      <w:tr w:rsidR="00417DA4" w:rsidRPr="00E51630">
        <w:trPr>
          <w:trHeight w:val="308"/>
        </w:trPr>
        <w:tc>
          <w:tcPr>
            <w:tcW w:w="1770" w:type="dxa"/>
            <w:tcBorders>
              <w:top w:val="nil"/>
              <w:left w:val="nil"/>
              <w:bottom w:val="nil"/>
              <w:right w:val="nil"/>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GGBFS</w:t>
            </w:r>
          </w:p>
        </w:tc>
        <w:tc>
          <w:tcPr>
            <w:tcW w:w="675" w:type="dxa"/>
            <w:tcBorders>
              <w:top w:val="nil"/>
              <w:left w:val="single" w:sz="4" w:space="0" w:color="auto"/>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41.28</w:t>
            </w:r>
          </w:p>
        </w:tc>
        <w:tc>
          <w:tcPr>
            <w:tcW w:w="675"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35.98</w:t>
            </w:r>
          </w:p>
        </w:tc>
        <w:tc>
          <w:tcPr>
            <w:tcW w:w="674"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12.85</w:t>
            </w:r>
          </w:p>
        </w:tc>
        <w:tc>
          <w:tcPr>
            <w:tcW w:w="757"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0.39</w:t>
            </w:r>
          </w:p>
        </w:tc>
        <w:tc>
          <w:tcPr>
            <w:tcW w:w="739"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6.30</w:t>
            </w:r>
          </w:p>
        </w:tc>
        <w:tc>
          <w:tcPr>
            <w:tcW w:w="679"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0.60</w:t>
            </w:r>
          </w:p>
        </w:tc>
        <w:tc>
          <w:tcPr>
            <w:tcW w:w="709" w:type="dxa"/>
            <w:tcBorders>
              <w:top w:val="nil"/>
              <w:left w:val="nil"/>
              <w:bottom w:val="nil"/>
              <w:right w:val="single" w:sz="4" w:space="0" w:color="auto"/>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0.54</w:t>
            </w:r>
          </w:p>
        </w:tc>
        <w:tc>
          <w:tcPr>
            <w:tcW w:w="708"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3.61</w:t>
            </w:r>
          </w:p>
        </w:tc>
        <w:tc>
          <w:tcPr>
            <w:tcW w:w="709"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19.03</w:t>
            </w:r>
          </w:p>
        </w:tc>
        <w:tc>
          <w:tcPr>
            <w:tcW w:w="709"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111.5</w:t>
            </w:r>
          </w:p>
        </w:tc>
        <w:tc>
          <w:tcPr>
            <w:tcW w:w="709" w:type="dxa"/>
            <w:tcBorders>
              <w:top w:val="nil"/>
              <w:left w:val="nil"/>
              <w:bottom w:val="nil"/>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49.46</w:t>
            </w:r>
          </w:p>
        </w:tc>
      </w:tr>
      <w:tr w:rsidR="00417DA4" w:rsidRPr="00E51630">
        <w:trPr>
          <w:trHeight w:val="308"/>
        </w:trPr>
        <w:tc>
          <w:tcPr>
            <w:tcW w:w="1770" w:type="dxa"/>
            <w:tcBorders>
              <w:top w:val="nil"/>
              <w:left w:val="nil"/>
              <w:bottom w:val="single" w:sz="8" w:space="0" w:color="auto"/>
              <w:right w:val="nil"/>
            </w:tcBorders>
            <w:noWrap/>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 xml:space="preserve">Cement </w:t>
            </w:r>
          </w:p>
        </w:tc>
        <w:tc>
          <w:tcPr>
            <w:tcW w:w="675" w:type="dxa"/>
            <w:tcBorders>
              <w:top w:val="nil"/>
              <w:left w:val="single" w:sz="4" w:space="0" w:color="auto"/>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19.87</w:t>
            </w:r>
          </w:p>
        </w:tc>
        <w:tc>
          <w:tcPr>
            <w:tcW w:w="675" w:type="dxa"/>
            <w:tcBorders>
              <w:top w:val="nil"/>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64.36</w:t>
            </w:r>
          </w:p>
        </w:tc>
        <w:tc>
          <w:tcPr>
            <w:tcW w:w="674" w:type="dxa"/>
            <w:tcBorders>
              <w:top w:val="nil"/>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4.61</w:t>
            </w:r>
          </w:p>
        </w:tc>
        <w:tc>
          <w:tcPr>
            <w:tcW w:w="757" w:type="dxa"/>
            <w:tcBorders>
              <w:top w:val="nil"/>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3.18</w:t>
            </w:r>
          </w:p>
        </w:tc>
        <w:tc>
          <w:tcPr>
            <w:tcW w:w="739" w:type="dxa"/>
            <w:tcBorders>
              <w:top w:val="nil"/>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3.99</w:t>
            </w:r>
          </w:p>
        </w:tc>
        <w:tc>
          <w:tcPr>
            <w:tcW w:w="679" w:type="dxa"/>
            <w:tcBorders>
              <w:top w:val="nil"/>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0.21</w:t>
            </w:r>
          </w:p>
        </w:tc>
        <w:tc>
          <w:tcPr>
            <w:tcW w:w="709" w:type="dxa"/>
            <w:tcBorders>
              <w:top w:val="nil"/>
              <w:left w:val="nil"/>
              <w:bottom w:val="single" w:sz="8" w:space="0" w:color="auto"/>
              <w:right w:val="single" w:sz="4" w:space="0" w:color="auto"/>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0.30</w:t>
            </w:r>
          </w:p>
        </w:tc>
        <w:tc>
          <w:tcPr>
            <w:tcW w:w="708" w:type="dxa"/>
            <w:tcBorders>
              <w:top w:val="nil"/>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3.20</w:t>
            </w:r>
          </w:p>
        </w:tc>
        <w:tc>
          <w:tcPr>
            <w:tcW w:w="709" w:type="dxa"/>
            <w:tcBorders>
              <w:top w:val="nil"/>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17.69</w:t>
            </w:r>
          </w:p>
        </w:tc>
        <w:tc>
          <w:tcPr>
            <w:tcW w:w="709" w:type="dxa"/>
            <w:tcBorders>
              <w:top w:val="nil"/>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49.57</w:t>
            </w:r>
          </w:p>
        </w:tc>
        <w:tc>
          <w:tcPr>
            <w:tcW w:w="709" w:type="dxa"/>
            <w:tcBorders>
              <w:top w:val="nil"/>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29.90</w:t>
            </w:r>
          </w:p>
        </w:tc>
      </w:tr>
      <w:tr w:rsidR="00417DA4" w:rsidRPr="00E51630">
        <w:trPr>
          <w:trHeight w:val="436"/>
        </w:trPr>
        <w:tc>
          <w:tcPr>
            <w:tcW w:w="1770" w:type="dxa"/>
            <w:tcBorders>
              <w:top w:val="single" w:sz="8" w:space="0" w:color="auto"/>
              <w:left w:val="nil"/>
              <w:bottom w:val="single" w:sz="8" w:space="0" w:color="auto"/>
              <w:right w:val="nil"/>
            </w:tcBorders>
            <w:vAlign w:val="bottom"/>
          </w:tcPr>
          <w:p w:rsidR="00417DA4" w:rsidRPr="00E51630" w:rsidRDefault="00417DA4" w:rsidP="00E51630">
            <w:pPr>
              <w:pStyle w:val="NoSpacing"/>
              <w:jc w:val="center"/>
              <w:rPr>
                <w:b/>
                <w:bCs/>
                <w:sz w:val="20"/>
                <w:szCs w:val="20"/>
                <w:lang w:val="en-US"/>
              </w:rPr>
            </w:pPr>
            <w:r w:rsidRPr="00E51630">
              <w:rPr>
                <w:b/>
                <w:bCs/>
                <w:sz w:val="20"/>
                <w:szCs w:val="20"/>
                <w:lang w:val="en-US"/>
              </w:rPr>
              <w:t>Sludge                 under 125 μm</w:t>
            </w:r>
          </w:p>
        </w:tc>
        <w:tc>
          <w:tcPr>
            <w:tcW w:w="675" w:type="dxa"/>
            <w:tcBorders>
              <w:top w:val="single" w:sz="8" w:space="0" w:color="auto"/>
              <w:left w:val="single" w:sz="4" w:space="0" w:color="auto"/>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42.66</w:t>
            </w:r>
          </w:p>
        </w:tc>
        <w:tc>
          <w:tcPr>
            <w:tcW w:w="675" w:type="dxa"/>
            <w:tcBorders>
              <w:top w:val="single" w:sz="8" w:space="0" w:color="auto"/>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5.83</w:t>
            </w:r>
          </w:p>
        </w:tc>
        <w:tc>
          <w:tcPr>
            <w:tcW w:w="674" w:type="dxa"/>
            <w:tcBorders>
              <w:top w:val="single" w:sz="8" w:space="0" w:color="auto"/>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5.04</w:t>
            </w:r>
          </w:p>
        </w:tc>
        <w:tc>
          <w:tcPr>
            <w:tcW w:w="757" w:type="dxa"/>
            <w:tcBorders>
              <w:top w:val="single" w:sz="8" w:space="0" w:color="auto"/>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 6.54</w:t>
            </w:r>
          </w:p>
        </w:tc>
        <w:tc>
          <w:tcPr>
            <w:tcW w:w="739" w:type="dxa"/>
            <w:tcBorders>
              <w:top w:val="single" w:sz="8" w:space="0" w:color="auto"/>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 11.19</w:t>
            </w:r>
          </w:p>
        </w:tc>
        <w:tc>
          <w:tcPr>
            <w:tcW w:w="679" w:type="dxa"/>
            <w:tcBorders>
              <w:top w:val="single" w:sz="8" w:space="0" w:color="auto"/>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 1.72</w:t>
            </w:r>
          </w:p>
        </w:tc>
        <w:tc>
          <w:tcPr>
            <w:tcW w:w="709" w:type="dxa"/>
            <w:tcBorders>
              <w:top w:val="single" w:sz="8" w:space="0" w:color="auto"/>
              <w:left w:val="nil"/>
              <w:bottom w:val="single" w:sz="8" w:space="0" w:color="auto"/>
              <w:right w:val="single" w:sz="4" w:space="0" w:color="auto"/>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0.98</w:t>
            </w:r>
          </w:p>
        </w:tc>
        <w:tc>
          <w:tcPr>
            <w:tcW w:w="708" w:type="dxa"/>
            <w:tcBorders>
              <w:top w:val="single" w:sz="8" w:space="0" w:color="auto"/>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17.49</w:t>
            </w:r>
          </w:p>
        </w:tc>
        <w:tc>
          <w:tcPr>
            <w:tcW w:w="709" w:type="dxa"/>
            <w:tcBorders>
              <w:top w:val="single" w:sz="8" w:space="0" w:color="auto"/>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82.50</w:t>
            </w:r>
          </w:p>
        </w:tc>
        <w:tc>
          <w:tcPr>
            <w:tcW w:w="709" w:type="dxa"/>
            <w:tcBorders>
              <w:top w:val="single" w:sz="8" w:space="0" w:color="auto"/>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149.8</w:t>
            </w:r>
          </w:p>
        </w:tc>
        <w:tc>
          <w:tcPr>
            <w:tcW w:w="709" w:type="dxa"/>
            <w:tcBorders>
              <w:top w:val="single" w:sz="8" w:space="0" w:color="auto"/>
              <w:left w:val="nil"/>
              <w:bottom w:val="single" w:sz="8" w:space="0" w:color="auto"/>
              <w:right w:val="nil"/>
            </w:tcBorders>
            <w:noWrap/>
            <w:vAlign w:val="bottom"/>
          </w:tcPr>
          <w:p w:rsidR="00417DA4" w:rsidRPr="00F87045" w:rsidRDefault="00417DA4" w:rsidP="00E51630">
            <w:pPr>
              <w:pStyle w:val="NoSpacing"/>
              <w:jc w:val="center"/>
              <w:rPr>
                <w:sz w:val="20"/>
                <w:szCs w:val="20"/>
                <w:lang w:val="en-US"/>
              </w:rPr>
            </w:pPr>
            <w:r w:rsidRPr="00F87045">
              <w:rPr>
                <w:sz w:val="20"/>
                <w:szCs w:val="20"/>
                <w:lang w:val="en-US"/>
              </w:rPr>
              <w:t> 83.55</w:t>
            </w:r>
          </w:p>
        </w:tc>
      </w:tr>
    </w:tbl>
    <w:p w:rsidR="00417DA4" w:rsidRDefault="00417DA4" w:rsidP="00405C8B">
      <w:pPr>
        <w:rPr>
          <w:b/>
          <w:bCs/>
          <w:lang w:val="en-US"/>
        </w:rPr>
      </w:pPr>
    </w:p>
    <w:p w:rsidR="00417DA4" w:rsidRDefault="00417DA4" w:rsidP="00405C8B">
      <w:pPr>
        <w:rPr>
          <w:lang w:val="en-US"/>
        </w:rPr>
      </w:pPr>
      <w:r w:rsidRPr="00ED3E6E">
        <w:rPr>
          <w:b/>
          <w:bCs/>
          <w:lang w:val="en-US"/>
        </w:rPr>
        <w:t xml:space="preserve">Table </w:t>
      </w:r>
      <w:r>
        <w:rPr>
          <w:b/>
          <w:bCs/>
          <w:lang w:val="en-US"/>
        </w:rPr>
        <w:t>2</w:t>
      </w:r>
      <w:r w:rsidRPr="00ED3E6E">
        <w:rPr>
          <w:b/>
          <w:bCs/>
          <w:lang w:val="en-US"/>
        </w:rPr>
        <w:t>.</w:t>
      </w:r>
      <w:r w:rsidRPr="00ED3E6E">
        <w:rPr>
          <w:lang w:val="en-US"/>
        </w:rPr>
        <w:t xml:space="preserve"> </w:t>
      </w:r>
      <w:r w:rsidRPr="00405C8B">
        <w:rPr>
          <w:lang w:val="en-US"/>
        </w:rPr>
        <w:t>Granulometric composition of sludge</w:t>
      </w:r>
    </w:p>
    <w:tbl>
      <w:tblPr>
        <w:tblW w:w="3670" w:type="dxa"/>
        <w:jc w:val="center"/>
        <w:tblCellMar>
          <w:left w:w="70" w:type="dxa"/>
          <w:right w:w="70" w:type="dxa"/>
        </w:tblCellMar>
        <w:tblLook w:val="00A0"/>
      </w:tblPr>
      <w:tblGrid>
        <w:gridCol w:w="1621"/>
        <w:gridCol w:w="2049"/>
      </w:tblGrid>
      <w:tr w:rsidR="00417DA4" w:rsidRPr="001B0ABA">
        <w:trPr>
          <w:trHeight w:val="315"/>
          <w:jc w:val="center"/>
        </w:trPr>
        <w:tc>
          <w:tcPr>
            <w:tcW w:w="1621" w:type="dxa"/>
            <w:tcBorders>
              <w:top w:val="single" w:sz="8" w:space="0" w:color="auto"/>
              <w:left w:val="single" w:sz="8" w:space="0" w:color="auto"/>
              <w:bottom w:val="single" w:sz="8" w:space="0" w:color="auto"/>
              <w:right w:val="single" w:sz="8" w:space="0" w:color="auto"/>
            </w:tcBorders>
            <w:noWrap/>
            <w:vAlign w:val="bottom"/>
          </w:tcPr>
          <w:p w:rsidR="00417DA4" w:rsidRPr="00405C8B" w:rsidRDefault="00417DA4" w:rsidP="00405C8B">
            <w:pPr>
              <w:pStyle w:val="NoSpacing"/>
              <w:jc w:val="center"/>
              <w:rPr>
                <w:b/>
                <w:bCs/>
                <w:sz w:val="20"/>
                <w:szCs w:val="20"/>
                <w:lang w:val="en-US"/>
              </w:rPr>
            </w:pPr>
            <w:r w:rsidRPr="00405C8B">
              <w:rPr>
                <w:b/>
                <w:bCs/>
                <w:sz w:val="20"/>
                <w:szCs w:val="20"/>
                <w:lang w:val="en-US"/>
              </w:rPr>
              <w:t>Fraction [mm]</w:t>
            </w:r>
          </w:p>
        </w:tc>
        <w:tc>
          <w:tcPr>
            <w:tcW w:w="2049" w:type="dxa"/>
            <w:tcBorders>
              <w:top w:val="single" w:sz="8" w:space="0" w:color="auto"/>
              <w:left w:val="nil"/>
              <w:bottom w:val="single" w:sz="8" w:space="0" w:color="auto"/>
              <w:right w:val="single" w:sz="8" w:space="0" w:color="auto"/>
            </w:tcBorders>
            <w:noWrap/>
            <w:vAlign w:val="bottom"/>
          </w:tcPr>
          <w:p w:rsidR="00417DA4" w:rsidRPr="00405C8B" w:rsidRDefault="00417DA4" w:rsidP="00405C8B">
            <w:pPr>
              <w:pStyle w:val="NoSpacing"/>
              <w:jc w:val="center"/>
              <w:rPr>
                <w:b/>
                <w:bCs/>
                <w:sz w:val="20"/>
                <w:szCs w:val="20"/>
                <w:lang w:val="en-US"/>
              </w:rPr>
            </w:pPr>
            <w:r w:rsidRPr="00405C8B">
              <w:rPr>
                <w:b/>
                <w:bCs/>
                <w:sz w:val="20"/>
                <w:szCs w:val="20"/>
                <w:lang w:val="en-US"/>
              </w:rPr>
              <w:t>Mass yield [wt. %]</w:t>
            </w:r>
          </w:p>
        </w:tc>
      </w:tr>
      <w:tr w:rsidR="00417DA4" w:rsidRPr="001B0ABA">
        <w:trPr>
          <w:trHeight w:val="300"/>
          <w:jc w:val="center"/>
        </w:trPr>
        <w:tc>
          <w:tcPr>
            <w:tcW w:w="1621" w:type="dxa"/>
            <w:tcBorders>
              <w:top w:val="single" w:sz="4" w:space="0" w:color="auto"/>
              <w:left w:val="single" w:sz="8" w:space="0" w:color="auto"/>
              <w:bottom w:val="single" w:sz="4" w:space="0" w:color="auto"/>
              <w:right w:val="single" w:sz="8"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2 - 1</w:t>
            </w:r>
          </w:p>
        </w:tc>
        <w:tc>
          <w:tcPr>
            <w:tcW w:w="2049" w:type="dxa"/>
            <w:tcBorders>
              <w:top w:val="single" w:sz="4" w:space="0" w:color="auto"/>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20</w:t>
            </w:r>
          </w:p>
        </w:tc>
      </w:tr>
      <w:tr w:rsidR="00417DA4" w:rsidRPr="001B0ABA">
        <w:trPr>
          <w:trHeight w:val="300"/>
          <w:jc w:val="center"/>
        </w:trPr>
        <w:tc>
          <w:tcPr>
            <w:tcW w:w="1621" w:type="dxa"/>
            <w:tcBorders>
              <w:top w:val="nil"/>
              <w:left w:val="single" w:sz="8" w:space="0" w:color="auto"/>
              <w:bottom w:val="single" w:sz="4" w:space="0" w:color="auto"/>
              <w:right w:val="single" w:sz="8"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1 - 0.5</w:t>
            </w:r>
          </w:p>
        </w:tc>
        <w:tc>
          <w:tcPr>
            <w:tcW w:w="2049" w:type="dxa"/>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14</w:t>
            </w:r>
          </w:p>
        </w:tc>
      </w:tr>
      <w:tr w:rsidR="00417DA4" w:rsidRPr="001B0ABA">
        <w:trPr>
          <w:trHeight w:val="300"/>
          <w:jc w:val="center"/>
        </w:trPr>
        <w:tc>
          <w:tcPr>
            <w:tcW w:w="1621" w:type="dxa"/>
            <w:tcBorders>
              <w:top w:val="nil"/>
              <w:left w:val="single" w:sz="8" w:space="0" w:color="auto"/>
              <w:bottom w:val="single" w:sz="4" w:space="0" w:color="auto"/>
              <w:right w:val="single" w:sz="8"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0.5 - 0.25</w:t>
            </w:r>
          </w:p>
        </w:tc>
        <w:tc>
          <w:tcPr>
            <w:tcW w:w="2049" w:type="dxa"/>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21</w:t>
            </w:r>
          </w:p>
        </w:tc>
      </w:tr>
      <w:tr w:rsidR="00417DA4" w:rsidRPr="001B0ABA">
        <w:trPr>
          <w:trHeight w:val="300"/>
          <w:jc w:val="center"/>
        </w:trPr>
        <w:tc>
          <w:tcPr>
            <w:tcW w:w="1621" w:type="dxa"/>
            <w:tcBorders>
              <w:top w:val="nil"/>
              <w:left w:val="single" w:sz="8" w:space="0" w:color="auto"/>
              <w:bottom w:val="single" w:sz="4" w:space="0" w:color="auto"/>
              <w:right w:val="single" w:sz="8"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0.25 - 0.125</w:t>
            </w:r>
          </w:p>
        </w:tc>
        <w:tc>
          <w:tcPr>
            <w:tcW w:w="2049" w:type="dxa"/>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21</w:t>
            </w:r>
          </w:p>
        </w:tc>
      </w:tr>
      <w:tr w:rsidR="00417DA4" w:rsidRPr="001B0ABA">
        <w:trPr>
          <w:trHeight w:val="315"/>
          <w:jc w:val="center"/>
        </w:trPr>
        <w:tc>
          <w:tcPr>
            <w:tcW w:w="1621" w:type="dxa"/>
            <w:tcBorders>
              <w:top w:val="nil"/>
              <w:left w:val="single" w:sz="8" w:space="0" w:color="auto"/>
              <w:bottom w:val="single" w:sz="8" w:space="0" w:color="auto"/>
              <w:right w:val="single" w:sz="8"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&lt;0.125</w:t>
            </w:r>
          </w:p>
        </w:tc>
        <w:tc>
          <w:tcPr>
            <w:tcW w:w="2049" w:type="dxa"/>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24</w:t>
            </w:r>
          </w:p>
        </w:tc>
      </w:tr>
    </w:tbl>
    <w:p w:rsidR="00417DA4" w:rsidRDefault="00417DA4" w:rsidP="00405C8B">
      <w:pPr>
        <w:rPr>
          <w:lang w:val="en-US"/>
        </w:rPr>
      </w:pPr>
    </w:p>
    <w:p w:rsidR="00417DA4" w:rsidRPr="00405C8B" w:rsidRDefault="00417DA4" w:rsidP="00405C8B">
      <w:pPr>
        <w:rPr>
          <w:lang w:val="en-US"/>
        </w:rPr>
      </w:pPr>
      <w:r w:rsidRPr="00405C8B">
        <w:rPr>
          <w:lang w:val="en-US"/>
        </w:rPr>
        <w:t>Design of mixtures composition was designed on the base of</w:t>
      </w:r>
      <w:r>
        <w:rPr>
          <w:lang w:val="en-US"/>
        </w:rPr>
        <w:t xml:space="preserve"> various literary sources (Yazici et al., 2012; </w:t>
      </w:r>
      <w:r>
        <w:rPr>
          <w:lang w:val="sk-SK"/>
        </w:rPr>
        <w:t>Rangan, 2008</w:t>
      </w:r>
      <w:r>
        <w:rPr>
          <w:lang w:val="en-US"/>
        </w:rPr>
        <w:t xml:space="preserve">; </w:t>
      </w:r>
      <w:r>
        <w:rPr>
          <w:lang w:val="sk-SK"/>
        </w:rPr>
        <w:t>Škvara et al., 2005</w:t>
      </w:r>
      <w:r>
        <w:rPr>
          <w:lang w:val="en-US"/>
        </w:rPr>
        <w:t>; Palomo et al., 1999; Palomo et al., 2011</w:t>
      </w:r>
      <w:r>
        <w:rPr>
          <w:lang w:val="sk-SK"/>
        </w:rPr>
        <w:t>)</w:t>
      </w:r>
      <w:r w:rsidRPr="00405C8B">
        <w:rPr>
          <w:lang w:val="en-US"/>
        </w:rPr>
        <w:t>. The basic geopolymer mixture was intended in the terms of alkali-activated fly ash as microfiller. Alkaline activating agent for mixtures T1 – T4 was prepared by mixing the Na</w:t>
      </w:r>
      <w:r w:rsidRPr="00405C8B">
        <w:rPr>
          <w:vertAlign w:val="subscript"/>
          <w:lang w:val="en-US"/>
        </w:rPr>
        <w:t>2</w:t>
      </w:r>
      <w:r w:rsidRPr="00405C8B">
        <w:rPr>
          <w:lang w:val="en-US"/>
        </w:rPr>
        <w:t>SiO</w:t>
      </w:r>
      <w:r w:rsidRPr="00405C8B">
        <w:rPr>
          <w:vertAlign w:val="subscript"/>
          <w:lang w:val="en-US"/>
        </w:rPr>
        <w:t>3</w:t>
      </w:r>
      <w:r w:rsidRPr="00405C8B">
        <w:rPr>
          <w:lang w:val="en-US"/>
        </w:rPr>
        <w:t>, NaOH and GGBFS. The SiO</w:t>
      </w:r>
      <w:r w:rsidRPr="00405C8B">
        <w:rPr>
          <w:vertAlign w:val="subscript"/>
          <w:lang w:val="en-US"/>
        </w:rPr>
        <w:t>2</w:t>
      </w:r>
      <w:r w:rsidRPr="00405C8B">
        <w:rPr>
          <w:lang w:val="en-US"/>
        </w:rPr>
        <w:t xml:space="preserve"> to Na</w:t>
      </w:r>
      <w:r w:rsidRPr="00405C8B">
        <w:rPr>
          <w:vertAlign w:val="subscript"/>
          <w:lang w:val="en-US"/>
        </w:rPr>
        <w:t>2</w:t>
      </w:r>
      <w:r w:rsidRPr="00405C8B">
        <w:rPr>
          <w:lang w:val="en-US"/>
        </w:rPr>
        <w:t>O ratio (Ms Modul) in the alkaline activating agent was adjusted by 8 M NaOH addition to Na</w:t>
      </w:r>
      <w:r w:rsidRPr="00405C8B">
        <w:rPr>
          <w:vertAlign w:val="subscript"/>
          <w:lang w:val="en-US"/>
        </w:rPr>
        <w:t>2</w:t>
      </w:r>
      <w:r w:rsidRPr="00405C8B">
        <w:rPr>
          <w:lang w:val="en-US"/>
        </w:rPr>
        <w:t>SiO</w:t>
      </w:r>
      <w:r w:rsidRPr="00405C8B">
        <w:rPr>
          <w:vertAlign w:val="subscript"/>
          <w:lang w:val="en-US"/>
        </w:rPr>
        <w:t>3</w:t>
      </w:r>
      <w:r w:rsidRPr="00405C8B">
        <w:rPr>
          <w:lang w:val="en-US"/>
        </w:rPr>
        <w:t xml:space="preserve"> with a modul Ms = 2.5. Design of the combination Na</w:t>
      </w:r>
      <w:r w:rsidRPr="00405C8B">
        <w:rPr>
          <w:vertAlign w:val="subscript"/>
          <w:lang w:val="en-US"/>
        </w:rPr>
        <w:t>2</w:t>
      </w:r>
      <w:r w:rsidRPr="00405C8B">
        <w:rPr>
          <w:lang w:val="en-US"/>
        </w:rPr>
        <w:t>SiO</w:t>
      </w:r>
      <w:r w:rsidRPr="00405C8B">
        <w:rPr>
          <w:vertAlign w:val="subscript"/>
          <w:lang w:val="en-US"/>
        </w:rPr>
        <w:t>3</w:t>
      </w:r>
      <w:r w:rsidRPr="00405C8B">
        <w:rPr>
          <w:lang w:val="en-US"/>
        </w:rPr>
        <w:t xml:space="preserve"> and NaOH for preparing activator and its ratio to the other components in mixtures is given in Tab. 3, as well as recommendations summarized from various research reports </w:t>
      </w:r>
      <w:r>
        <w:rPr>
          <w:lang w:val="en-US"/>
        </w:rPr>
        <w:t xml:space="preserve">(Yazici et al., 2012; </w:t>
      </w:r>
      <w:r>
        <w:rPr>
          <w:lang w:val="sk-SK"/>
        </w:rPr>
        <w:t>Rangan, 2008</w:t>
      </w:r>
      <w:r>
        <w:rPr>
          <w:lang w:val="en-US"/>
        </w:rPr>
        <w:t xml:space="preserve">; </w:t>
      </w:r>
      <w:r>
        <w:rPr>
          <w:lang w:val="sk-SK"/>
        </w:rPr>
        <w:t>Škvara et al., 2005</w:t>
      </w:r>
      <w:r>
        <w:rPr>
          <w:lang w:val="en-US"/>
        </w:rPr>
        <w:t>; Palomo et al., 1999; Palomo et al., 2011</w:t>
      </w:r>
      <w:r>
        <w:rPr>
          <w:lang w:val="sk-SK"/>
        </w:rPr>
        <w:t>)</w:t>
      </w:r>
      <w:r w:rsidRPr="00405C8B">
        <w:rPr>
          <w:lang w:val="en-US"/>
        </w:rPr>
        <w:t>.</w:t>
      </w:r>
    </w:p>
    <w:p w:rsidR="00417DA4" w:rsidRDefault="00417DA4" w:rsidP="00405C8B">
      <w:pPr>
        <w:rPr>
          <w:lang w:val="en-US"/>
        </w:rPr>
      </w:pPr>
      <w:r w:rsidRPr="00ED3E6E">
        <w:rPr>
          <w:b/>
          <w:bCs/>
          <w:lang w:val="en-US"/>
        </w:rPr>
        <w:t xml:space="preserve">Table </w:t>
      </w:r>
      <w:r>
        <w:rPr>
          <w:b/>
          <w:bCs/>
          <w:lang w:val="en-US"/>
        </w:rPr>
        <w:t>3</w:t>
      </w:r>
      <w:r w:rsidRPr="00ED3E6E">
        <w:rPr>
          <w:b/>
          <w:bCs/>
          <w:lang w:val="en-US"/>
        </w:rPr>
        <w:t>.</w:t>
      </w:r>
      <w:r w:rsidRPr="00ED3E6E">
        <w:rPr>
          <w:lang w:val="en-US"/>
        </w:rPr>
        <w:t xml:space="preserve"> </w:t>
      </w:r>
      <w:r w:rsidRPr="00405C8B">
        <w:rPr>
          <w:lang w:val="en-US"/>
        </w:rPr>
        <w:t>Conditions of geopolymers preparing</w:t>
      </w:r>
    </w:p>
    <w:tbl>
      <w:tblPr>
        <w:tblW w:w="0" w:type="auto"/>
        <w:tblInd w:w="-68" w:type="dxa"/>
        <w:tblCellMar>
          <w:left w:w="70" w:type="dxa"/>
          <w:right w:w="70" w:type="dxa"/>
        </w:tblCellMar>
        <w:tblLook w:val="0000"/>
      </w:tblPr>
      <w:tblGrid>
        <w:gridCol w:w="252"/>
        <w:gridCol w:w="3457"/>
        <w:gridCol w:w="2853"/>
        <w:gridCol w:w="530"/>
        <w:gridCol w:w="530"/>
        <w:gridCol w:w="530"/>
        <w:gridCol w:w="530"/>
        <w:gridCol w:w="530"/>
      </w:tblGrid>
      <w:tr w:rsidR="00417DA4" w:rsidRPr="00405C8B">
        <w:trPr>
          <w:trHeight w:val="170"/>
        </w:trPr>
        <w:tc>
          <w:tcPr>
            <w:tcW w:w="0" w:type="auto"/>
            <w:gridSpan w:val="2"/>
            <w:vMerge w:val="restart"/>
            <w:tcBorders>
              <w:top w:val="single" w:sz="18" w:space="0" w:color="auto"/>
              <w:left w:val="single" w:sz="8" w:space="0" w:color="auto"/>
              <w:right w:val="single" w:sz="8" w:space="0" w:color="000000"/>
            </w:tcBorders>
            <w:noWrap/>
            <w:vAlign w:val="bottom"/>
          </w:tcPr>
          <w:p w:rsidR="00417DA4" w:rsidRPr="00405C8B" w:rsidRDefault="00417DA4" w:rsidP="00405C8B">
            <w:pPr>
              <w:pStyle w:val="NoSpacing"/>
              <w:jc w:val="center"/>
              <w:rPr>
                <w:b/>
                <w:bCs/>
                <w:sz w:val="20"/>
                <w:szCs w:val="20"/>
                <w:lang w:val="en-US"/>
              </w:rPr>
            </w:pPr>
            <w:r w:rsidRPr="00405C8B">
              <w:rPr>
                <w:b/>
                <w:bCs/>
                <w:sz w:val="20"/>
                <w:szCs w:val="20"/>
                <w:lang w:val="en-US"/>
              </w:rPr>
              <w:t>Parameters</w:t>
            </w:r>
          </w:p>
        </w:tc>
        <w:tc>
          <w:tcPr>
            <w:tcW w:w="0" w:type="auto"/>
            <w:gridSpan w:val="6"/>
            <w:tcBorders>
              <w:top w:val="single" w:sz="18" w:space="0" w:color="auto"/>
              <w:left w:val="nil"/>
              <w:bottom w:val="single" w:sz="18" w:space="0" w:color="auto"/>
              <w:right w:val="single" w:sz="8" w:space="0" w:color="auto"/>
            </w:tcBorders>
            <w:vAlign w:val="bottom"/>
          </w:tcPr>
          <w:p w:rsidR="00417DA4" w:rsidRPr="00405C8B" w:rsidRDefault="00417DA4" w:rsidP="00405C8B">
            <w:pPr>
              <w:pStyle w:val="NoSpacing"/>
              <w:jc w:val="center"/>
              <w:rPr>
                <w:b/>
                <w:bCs/>
                <w:sz w:val="20"/>
                <w:szCs w:val="20"/>
                <w:lang w:val="en-US"/>
              </w:rPr>
            </w:pPr>
            <w:r w:rsidRPr="00405C8B">
              <w:rPr>
                <w:b/>
                <w:bCs/>
                <w:sz w:val="20"/>
                <w:szCs w:val="20"/>
                <w:lang w:val="en-US"/>
              </w:rPr>
              <w:t>Relationship between the geopolymer components</w:t>
            </w:r>
          </w:p>
        </w:tc>
      </w:tr>
      <w:tr w:rsidR="00417DA4" w:rsidRPr="00405C8B">
        <w:trPr>
          <w:trHeight w:val="204"/>
        </w:trPr>
        <w:tc>
          <w:tcPr>
            <w:tcW w:w="0" w:type="auto"/>
            <w:gridSpan w:val="2"/>
            <w:vMerge/>
            <w:tcBorders>
              <w:left w:val="single" w:sz="8" w:space="0" w:color="auto"/>
              <w:right w:val="single" w:sz="8" w:space="0" w:color="000000"/>
            </w:tcBorders>
            <w:noWrap/>
            <w:vAlign w:val="bottom"/>
          </w:tcPr>
          <w:p w:rsidR="00417DA4" w:rsidRPr="00405C8B" w:rsidRDefault="00417DA4" w:rsidP="00405C8B">
            <w:pPr>
              <w:pStyle w:val="NoSpacing"/>
              <w:jc w:val="center"/>
              <w:rPr>
                <w:b/>
                <w:bCs/>
                <w:sz w:val="20"/>
                <w:szCs w:val="20"/>
                <w:lang w:val="en-US"/>
              </w:rPr>
            </w:pPr>
          </w:p>
        </w:tc>
        <w:tc>
          <w:tcPr>
            <w:tcW w:w="0" w:type="auto"/>
            <w:vMerge w:val="restart"/>
            <w:tcBorders>
              <w:top w:val="single" w:sz="18" w:space="0" w:color="auto"/>
              <w:left w:val="nil"/>
              <w:right w:val="single" w:sz="8" w:space="0" w:color="auto"/>
            </w:tcBorders>
            <w:vAlign w:val="bottom"/>
          </w:tcPr>
          <w:p w:rsidR="00417DA4" w:rsidRPr="00405C8B" w:rsidRDefault="00417DA4" w:rsidP="00405C8B">
            <w:pPr>
              <w:pStyle w:val="NoSpacing"/>
              <w:jc w:val="center"/>
              <w:rPr>
                <w:b/>
                <w:bCs/>
                <w:sz w:val="20"/>
                <w:szCs w:val="20"/>
                <w:lang w:val="en-US"/>
              </w:rPr>
            </w:pPr>
            <w:r w:rsidRPr="00405C8B">
              <w:rPr>
                <w:b/>
                <w:bCs/>
                <w:sz w:val="20"/>
                <w:szCs w:val="20"/>
                <w:lang w:val="en-US"/>
              </w:rPr>
              <w:t>Recommendations according  to literature</w:t>
            </w:r>
          </w:p>
        </w:tc>
        <w:tc>
          <w:tcPr>
            <w:tcW w:w="0" w:type="auto"/>
            <w:gridSpan w:val="5"/>
            <w:tcBorders>
              <w:top w:val="single" w:sz="18" w:space="0" w:color="auto"/>
              <w:left w:val="nil"/>
              <w:bottom w:val="single" w:sz="18" w:space="0" w:color="auto"/>
              <w:right w:val="single" w:sz="8" w:space="0" w:color="auto"/>
            </w:tcBorders>
            <w:vAlign w:val="bottom"/>
          </w:tcPr>
          <w:p w:rsidR="00417DA4" w:rsidRPr="00405C8B" w:rsidRDefault="00417DA4" w:rsidP="00405C8B">
            <w:pPr>
              <w:pStyle w:val="NoSpacing"/>
              <w:jc w:val="center"/>
              <w:rPr>
                <w:b/>
                <w:bCs/>
                <w:sz w:val="20"/>
                <w:szCs w:val="20"/>
                <w:lang w:val="en-US"/>
              </w:rPr>
            </w:pPr>
            <w:r w:rsidRPr="00405C8B">
              <w:rPr>
                <w:b/>
                <w:bCs/>
                <w:sz w:val="20"/>
                <w:szCs w:val="20"/>
                <w:lang w:val="en-US"/>
              </w:rPr>
              <w:t>Investigated mixtures</w:t>
            </w:r>
          </w:p>
        </w:tc>
      </w:tr>
      <w:tr w:rsidR="00417DA4" w:rsidRPr="00405C8B">
        <w:trPr>
          <w:trHeight w:val="224"/>
        </w:trPr>
        <w:tc>
          <w:tcPr>
            <w:tcW w:w="0" w:type="auto"/>
            <w:gridSpan w:val="2"/>
            <w:vMerge/>
            <w:tcBorders>
              <w:left w:val="single" w:sz="8" w:space="0" w:color="auto"/>
              <w:bottom w:val="single" w:sz="18" w:space="0" w:color="auto"/>
              <w:right w:val="single" w:sz="8" w:space="0" w:color="000000"/>
            </w:tcBorders>
            <w:noWrap/>
            <w:vAlign w:val="bottom"/>
          </w:tcPr>
          <w:p w:rsidR="00417DA4" w:rsidRPr="00405C8B" w:rsidRDefault="00417DA4" w:rsidP="00405C8B">
            <w:pPr>
              <w:pStyle w:val="NoSpacing"/>
              <w:jc w:val="center"/>
              <w:rPr>
                <w:b/>
                <w:bCs/>
                <w:sz w:val="20"/>
                <w:szCs w:val="20"/>
                <w:lang w:val="en-US"/>
              </w:rPr>
            </w:pPr>
          </w:p>
        </w:tc>
        <w:tc>
          <w:tcPr>
            <w:tcW w:w="0" w:type="auto"/>
            <w:vMerge/>
            <w:tcBorders>
              <w:left w:val="nil"/>
              <w:bottom w:val="single" w:sz="18" w:space="0" w:color="auto"/>
              <w:right w:val="single" w:sz="8" w:space="0" w:color="auto"/>
            </w:tcBorders>
            <w:shd w:val="clear" w:color="auto" w:fill="CCCCCC"/>
            <w:vAlign w:val="bottom"/>
          </w:tcPr>
          <w:p w:rsidR="00417DA4" w:rsidRPr="00405C8B" w:rsidRDefault="00417DA4" w:rsidP="00405C8B">
            <w:pPr>
              <w:pStyle w:val="NoSpacing"/>
              <w:jc w:val="center"/>
              <w:rPr>
                <w:b/>
                <w:bCs/>
                <w:sz w:val="20"/>
                <w:szCs w:val="20"/>
                <w:lang w:val="en-US"/>
              </w:rPr>
            </w:pPr>
          </w:p>
        </w:tc>
        <w:tc>
          <w:tcPr>
            <w:tcW w:w="0" w:type="auto"/>
            <w:tcBorders>
              <w:top w:val="single" w:sz="18" w:space="0" w:color="auto"/>
              <w:left w:val="nil"/>
              <w:bottom w:val="single" w:sz="18" w:space="0" w:color="auto"/>
              <w:right w:val="single" w:sz="4" w:space="0" w:color="auto"/>
            </w:tcBorders>
            <w:noWrap/>
          </w:tcPr>
          <w:p w:rsidR="00417DA4" w:rsidRPr="00405C8B" w:rsidRDefault="00417DA4" w:rsidP="00405C8B">
            <w:pPr>
              <w:pStyle w:val="NoSpacing"/>
              <w:jc w:val="center"/>
              <w:rPr>
                <w:b/>
                <w:bCs/>
                <w:sz w:val="20"/>
                <w:szCs w:val="20"/>
                <w:lang w:val="en-US"/>
              </w:rPr>
            </w:pPr>
            <w:r w:rsidRPr="00405C8B">
              <w:rPr>
                <w:b/>
                <w:bCs/>
                <w:sz w:val="20"/>
                <w:szCs w:val="20"/>
                <w:lang w:val="en-US"/>
              </w:rPr>
              <w:t>T1</w:t>
            </w:r>
          </w:p>
        </w:tc>
        <w:tc>
          <w:tcPr>
            <w:tcW w:w="0" w:type="auto"/>
            <w:tcBorders>
              <w:top w:val="single" w:sz="18" w:space="0" w:color="auto"/>
              <w:left w:val="nil"/>
              <w:bottom w:val="single" w:sz="18" w:space="0" w:color="auto"/>
              <w:right w:val="single" w:sz="4" w:space="0" w:color="auto"/>
            </w:tcBorders>
            <w:noWrap/>
          </w:tcPr>
          <w:p w:rsidR="00417DA4" w:rsidRPr="00405C8B" w:rsidRDefault="00417DA4" w:rsidP="00405C8B">
            <w:pPr>
              <w:pStyle w:val="NoSpacing"/>
              <w:jc w:val="center"/>
              <w:rPr>
                <w:b/>
                <w:bCs/>
                <w:sz w:val="20"/>
                <w:szCs w:val="20"/>
                <w:lang w:val="en-US"/>
              </w:rPr>
            </w:pPr>
            <w:r w:rsidRPr="00405C8B">
              <w:rPr>
                <w:b/>
                <w:bCs/>
                <w:sz w:val="20"/>
                <w:szCs w:val="20"/>
                <w:lang w:val="en-US"/>
              </w:rPr>
              <w:t>T2</w:t>
            </w:r>
          </w:p>
        </w:tc>
        <w:tc>
          <w:tcPr>
            <w:tcW w:w="0" w:type="auto"/>
            <w:tcBorders>
              <w:top w:val="single" w:sz="18" w:space="0" w:color="auto"/>
              <w:left w:val="nil"/>
              <w:bottom w:val="single" w:sz="18" w:space="0" w:color="auto"/>
              <w:right w:val="single" w:sz="4" w:space="0" w:color="auto"/>
            </w:tcBorders>
            <w:noWrap/>
          </w:tcPr>
          <w:p w:rsidR="00417DA4" w:rsidRPr="00405C8B" w:rsidRDefault="00417DA4" w:rsidP="00405C8B">
            <w:pPr>
              <w:pStyle w:val="NoSpacing"/>
              <w:jc w:val="center"/>
              <w:rPr>
                <w:b/>
                <w:bCs/>
                <w:sz w:val="20"/>
                <w:szCs w:val="20"/>
                <w:lang w:val="en-US"/>
              </w:rPr>
            </w:pPr>
            <w:r w:rsidRPr="00405C8B">
              <w:rPr>
                <w:b/>
                <w:bCs/>
                <w:sz w:val="20"/>
                <w:szCs w:val="20"/>
                <w:lang w:val="en-US"/>
              </w:rPr>
              <w:t>T3</w:t>
            </w:r>
          </w:p>
        </w:tc>
        <w:tc>
          <w:tcPr>
            <w:tcW w:w="0" w:type="auto"/>
            <w:tcBorders>
              <w:top w:val="single" w:sz="18" w:space="0" w:color="auto"/>
              <w:left w:val="nil"/>
              <w:bottom w:val="single" w:sz="18" w:space="0" w:color="auto"/>
              <w:right w:val="single" w:sz="4" w:space="0" w:color="auto"/>
            </w:tcBorders>
            <w:noWrap/>
          </w:tcPr>
          <w:p w:rsidR="00417DA4" w:rsidRPr="00405C8B" w:rsidRDefault="00417DA4" w:rsidP="00405C8B">
            <w:pPr>
              <w:pStyle w:val="NoSpacing"/>
              <w:jc w:val="center"/>
              <w:rPr>
                <w:b/>
                <w:bCs/>
                <w:sz w:val="20"/>
                <w:szCs w:val="20"/>
                <w:lang w:val="en-US"/>
              </w:rPr>
            </w:pPr>
            <w:r w:rsidRPr="00405C8B">
              <w:rPr>
                <w:b/>
                <w:bCs/>
                <w:sz w:val="20"/>
                <w:szCs w:val="20"/>
                <w:lang w:val="en-US"/>
              </w:rPr>
              <w:t>T4</w:t>
            </w:r>
          </w:p>
        </w:tc>
        <w:tc>
          <w:tcPr>
            <w:tcW w:w="0" w:type="auto"/>
            <w:tcBorders>
              <w:top w:val="single" w:sz="18" w:space="0" w:color="auto"/>
              <w:left w:val="nil"/>
              <w:bottom w:val="single" w:sz="18" w:space="0" w:color="auto"/>
              <w:right w:val="single" w:sz="8" w:space="0" w:color="auto"/>
            </w:tcBorders>
            <w:noWrap/>
            <w:vAlign w:val="bottom"/>
          </w:tcPr>
          <w:p w:rsidR="00417DA4" w:rsidRPr="00405C8B" w:rsidRDefault="00417DA4" w:rsidP="00405C8B">
            <w:pPr>
              <w:pStyle w:val="NoSpacing"/>
              <w:jc w:val="center"/>
              <w:rPr>
                <w:b/>
                <w:bCs/>
                <w:sz w:val="20"/>
                <w:szCs w:val="20"/>
                <w:lang w:val="en-US"/>
              </w:rPr>
            </w:pPr>
            <w:r w:rsidRPr="00405C8B">
              <w:rPr>
                <w:b/>
                <w:bCs/>
                <w:sz w:val="20"/>
                <w:szCs w:val="20"/>
                <w:lang w:val="en-US"/>
              </w:rPr>
              <w:t>T5</w:t>
            </w:r>
          </w:p>
        </w:tc>
      </w:tr>
      <w:tr w:rsidR="00417DA4" w:rsidRPr="00405C8B">
        <w:trPr>
          <w:trHeight w:val="529"/>
        </w:trPr>
        <w:tc>
          <w:tcPr>
            <w:tcW w:w="0" w:type="auto"/>
            <w:tcBorders>
              <w:top w:val="single" w:sz="18" w:space="0" w:color="auto"/>
              <w:left w:val="single" w:sz="8" w:space="0" w:color="auto"/>
              <w:bottom w:val="single" w:sz="4" w:space="0" w:color="auto"/>
              <w:right w:val="single" w:sz="8" w:space="0" w:color="auto"/>
            </w:tcBorders>
            <w:noWrap/>
            <w:vAlign w:val="bottom"/>
          </w:tcPr>
          <w:p w:rsidR="00417DA4" w:rsidRPr="00405C8B" w:rsidRDefault="00417DA4" w:rsidP="00405C8B">
            <w:pPr>
              <w:pStyle w:val="NoSpacing"/>
              <w:jc w:val="center"/>
              <w:rPr>
                <w:b/>
                <w:bCs/>
                <w:sz w:val="20"/>
                <w:szCs w:val="20"/>
                <w:lang w:val="en-US"/>
              </w:rPr>
            </w:pPr>
            <w:r w:rsidRPr="00405C8B">
              <w:rPr>
                <w:b/>
                <w:bCs/>
                <w:sz w:val="20"/>
                <w:szCs w:val="20"/>
                <w:lang w:val="en-US"/>
              </w:rPr>
              <w:t>1</w:t>
            </w:r>
          </w:p>
        </w:tc>
        <w:tc>
          <w:tcPr>
            <w:tcW w:w="0" w:type="auto"/>
            <w:tcBorders>
              <w:top w:val="single" w:sz="18" w:space="0" w:color="auto"/>
              <w:left w:val="nil"/>
              <w:bottom w:val="single" w:sz="4" w:space="0" w:color="auto"/>
              <w:right w:val="single" w:sz="8" w:space="0" w:color="auto"/>
            </w:tcBorders>
            <w:vAlign w:val="bottom"/>
          </w:tcPr>
          <w:p w:rsidR="00417DA4" w:rsidRPr="00F970A5" w:rsidRDefault="00417DA4" w:rsidP="00405C8B">
            <w:pPr>
              <w:pStyle w:val="NoSpacing"/>
              <w:jc w:val="center"/>
              <w:rPr>
                <w:sz w:val="20"/>
                <w:szCs w:val="20"/>
                <w:lang w:val="en-US"/>
              </w:rPr>
            </w:pPr>
            <w:r w:rsidRPr="00F970A5">
              <w:rPr>
                <w:sz w:val="20"/>
                <w:szCs w:val="20"/>
                <w:lang w:val="en-US"/>
              </w:rPr>
              <w:t>Water from the alkaline activators /geopolymer solids ; l/s</w:t>
            </w:r>
          </w:p>
        </w:tc>
        <w:tc>
          <w:tcPr>
            <w:tcW w:w="0" w:type="auto"/>
            <w:tcBorders>
              <w:top w:val="single" w:sz="18" w:space="0" w:color="auto"/>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 xml:space="preserve">0.19 </w:t>
            </w:r>
          </w:p>
        </w:tc>
        <w:tc>
          <w:tcPr>
            <w:tcW w:w="0" w:type="auto"/>
            <w:tcBorders>
              <w:top w:val="single" w:sz="18" w:space="0" w:color="auto"/>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0.19</w:t>
            </w:r>
          </w:p>
        </w:tc>
        <w:tc>
          <w:tcPr>
            <w:tcW w:w="0" w:type="auto"/>
            <w:tcBorders>
              <w:top w:val="single" w:sz="18" w:space="0" w:color="auto"/>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0.19</w:t>
            </w:r>
          </w:p>
        </w:tc>
        <w:tc>
          <w:tcPr>
            <w:tcW w:w="0" w:type="auto"/>
            <w:tcBorders>
              <w:top w:val="single" w:sz="18" w:space="0" w:color="auto"/>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0.19</w:t>
            </w:r>
          </w:p>
        </w:tc>
        <w:tc>
          <w:tcPr>
            <w:tcW w:w="0" w:type="auto"/>
            <w:tcBorders>
              <w:top w:val="single" w:sz="18" w:space="0" w:color="auto"/>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0.25</w:t>
            </w:r>
          </w:p>
        </w:tc>
        <w:tc>
          <w:tcPr>
            <w:tcW w:w="0" w:type="auto"/>
            <w:tcBorders>
              <w:top w:val="single" w:sz="18" w:space="0" w:color="auto"/>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w:t>
            </w:r>
          </w:p>
        </w:tc>
      </w:tr>
      <w:tr w:rsidR="00417DA4" w:rsidRPr="00405C8B">
        <w:trPr>
          <w:trHeight w:val="287"/>
        </w:trPr>
        <w:tc>
          <w:tcPr>
            <w:tcW w:w="0" w:type="auto"/>
            <w:tcBorders>
              <w:top w:val="nil"/>
              <w:left w:val="single" w:sz="8" w:space="0" w:color="auto"/>
              <w:bottom w:val="single" w:sz="4" w:space="0" w:color="auto"/>
              <w:right w:val="single" w:sz="8" w:space="0" w:color="auto"/>
            </w:tcBorders>
            <w:noWrap/>
            <w:vAlign w:val="bottom"/>
          </w:tcPr>
          <w:p w:rsidR="00417DA4" w:rsidRPr="00405C8B" w:rsidRDefault="00417DA4" w:rsidP="00405C8B">
            <w:pPr>
              <w:pStyle w:val="NoSpacing"/>
              <w:jc w:val="center"/>
              <w:rPr>
                <w:b/>
                <w:bCs/>
                <w:sz w:val="20"/>
                <w:szCs w:val="20"/>
                <w:lang w:val="en-US"/>
              </w:rPr>
            </w:pPr>
            <w:r w:rsidRPr="00405C8B">
              <w:rPr>
                <w:b/>
                <w:bCs/>
                <w:sz w:val="20"/>
                <w:szCs w:val="20"/>
                <w:lang w:val="en-US"/>
              </w:rPr>
              <w:t>2</w:t>
            </w:r>
          </w:p>
        </w:tc>
        <w:tc>
          <w:tcPr>
            <w:tcW w:w="0" w:type="auto"/>
            <w:tcBorders>
              <w:top w:val="nil"/>
              <w:left w:val="nil"/>
              <w:bottom w:val="single" w:sz="4" w:space="0" w:color="auto"/>
              <w:right w:val="single" w:sz="8" w:space="0" w:color="auto"/>
            </w:tcBorders>
            <w:noWrap/>
            <w:vAlign w:val="bottom"/>
          </w:tcPr>
          <w:p w:rsidR="00417DA4" w:rsidRPr="00F970A5" w:rsidRDefault="00417DA4" w:rsidP="00405C8B">
            <w:pPr>
              <w:pStyle w:val="NoSpacing"/>
              <w:jc w:val="center"/>
              <w:rPr>
                <w:sz w:val="20"/>
                <w:szCs w:val="20"/>
                <w:lang w:val="en-US"/>
              </w:rPr>
            </w:pPr>
            <w:r w:rsidRPr="00F970A5">
              <w:rPr>
                <w:sz w:val="20"/>
                <w:szCs w:val="20"/>
                <w:lang w:val="en-US"/>
              </w:rPr>
              <w:t>Alkaline solution/fly ash</w:t>
            </w:r>
          </w:p>
        </w:tc>
        <w:tc>
          <w:tcPr>
            <w:tcW w:w="0" w:type="auto"/>
            <w:tcBorders>
              <w:top w:val="nil"/>
              <w:left w:val="nil"/>
              <w:bottom w:val="single" w:sz="4" w:space="0" w:color="auto"/>
              <w:right w:val="single" w:sz="4" w:space="0" w:color="auto"/>
            </w:tcBorders>
            <w:vAlign w:val="center"/>
          </w:tcPr>
          <w:p w:rsidR="00417DA4" w:rsidRPr="00F87045" w:rsidRDefault="00417DA4" w:rsidP="00405C8B">
            <w:pPr>
              <w:pStyle w:val="NoSpacing"/>
              <w:jc w:val="center"/>
              <w:rPr>
                <w:sz w:val="20"/>
                <w:szCs w:val="20"/>
                <w:lang w:val="en-US"/>
              </w:rPr>
            </w:pPr>
          </w:p>
          <w:p w:rsidR="00417DA4" w:rsidRPr="00F87045" w:rsidRDefault="00417DA4" w:rsidP="00405C8B">
            <w:pPr>
              <w:pStyle w:val="NoSpacing"/>
              <w:jc w:val="center"/>
              <w:rPr>
                <w:sz w:val="20"/>
                <w:szCs w:val="20"/>
                <w:lang w:val="en-US"/>
              </w:rPr>
            </w:pPr>
            <w:r w:rsidRPr="00F87045">
              <w:rPr>
                <w:sz w:val="20"/>
                <w:szCs w:val="20"/>
                <w:lang w:val="en-US"/>
              </w:rPr>
              <w:t>0.25-0.45</w:t>
            </w:r>
          </w:p>
        </w:tc>
        <w:tc>
          <w:tcPr>
            <w:tcW w:w="0" w:type="auto"/>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0.38</w:t>
            </w:r>
          </w:p>
        </w:tc>
        <w:tc>
          <w:tcPr>
            <w:tcW w:w="0" w:type="auto"/>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0.38</w:t>
            </w:r>
          </w:p>
        </w:tc>
        <w:tc>
          <w:tcPr>
            <w:tcW w:w="0" w:type="auto"/>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0.38</w:t>
            </w:r>
          </w:p>
        </w:tc>
        <w:tc>
          <w:tcPr>
            <w:tcW w:w="0" w:type="auto"/>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0.56</w:t>
            </w:r>
          </w:p>
        </w:tc>
        <w:tc>
          <w:tcPr>
            <w:tcW w:w="0" w:type="auto"/>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w:t>
            </w:r>
          </w:p>
        </w:tc>
      </w:tr>
      <w:tr w:rsidR="00417DA4" w:rsidRPr="00405C8B">
        <w:trPr>
          <w:trHeight w:val="300"/>
        </w:trPr>
        <w:tc>
          <w:tcPr>
            <w:tcW w:w="0" w:type="auto"/>
            <w:tcBorders>
              <w:top w:val="nil"/>
              <w:left w:val="single" w:sz="8" w:space="0" w:color="auto"/>
              <w:bottom w:val="single" w:sz="4" w:space="0" w:color="auto"/>
              <w:right w:val="single" w:sz="8" w:space="0" w:color="auto"/>
            </w:tcBorders>
            <w:noWrap/>
            <w:vAlign w:val="bottom"/>
          </w:tcPr>
          <w:p w:rsidR="00417DA4" w:rsidRPr="00405C8B" w:rsidRDefault="00417DA4" w:rsidP="00405C8B">
            <w:pPr>
              <w:pStyle w:val="NoSpacing"/>
              <w:jc w:val="center"/>
              <w:rPr>
                <w:b/>
                <w:bCs/>
                <w:sz w:val="20"/>
                <w:szCs w:val="20"/>
                <w:lang w:val="en-US"/>
              </w:rPr>
            </w:pPr>
            <w:r w:rsidRPr="00405C8B">
              <w:rPr>
                <w:b/>
                <w:bCs/>
                <w:sz w:val="20"/>
                <w:szCs w:val="20"/>
                <w:lang w:val="en-US"/>
              </w:rPr>
              <w:t>3</w:t>
            </w:r>
          </w:p>
        </w:tc>
        <w:tc>
          <w:tcPr>
            <w:tcW w:w="0" w:type="auto"/>
            <w:tcBorders>
              <w:top w:val="nil"/>
              <w:left w:val="nil"/>
              <w:bottom w:val="single" w:sz="4" w:space="0" w:color="auto"/>
              <w:right w:val="single" w:sz="8" w:space="0" w:color="auto"/>
            </w:tcBorders>
            <w:noWrap/>
            <w:vAlign w:val="bottom"/>
          </w:tcPr>
          <w:p w:rsidR="00417DA4" w:rsidRPr="00F970A5" w:rsidRDefault="00417DA4" w:rsidP="00405C8B">
            <w:pPr>
              <w:pStyle w:val="NoSpacing"/>
              <w:jc w:val="center"/>
              <w:rPr>
                <w:sz w:val="20"/>
                <w:szCs w:val="20"/>
                <w:lang w:val="en-US"/>
              </w:rPr>
            </w:pPr>
            <w:r w:rsidRPr="00F970A5">
              <w:rPr>
                <w:sz w:val="20"/>
                <w:szCs w:val="20"/>
                <w:lang w:val="en-US"/>
              </w:rPr>
              <w:t>Na</w:t>
            </w:r>
            <w:r w:rsidRPr="00F970A5">
              <w:rPr>
                <w:sz w:val="20"/>
                <w:szCs w:val="20"/>
                <w:vertAlign w:val="subscript"/>
                <w:lang w:val="en-US"/>
              </w:rPr>
              <w:t>2</w:t>
            </w:r>
            <w:r w:rsidRPr="00F970A5">
              <w:rPr>
                <w:sz w:val="20"/>
                <w:szCs w:val="20"/>
                <w:lang w:val="en-US"/>
              </w:rPr>
              <w:t>SiO</w:t>
            </w:r>
            <w:r w:rsidRPr="00F970A5">
              <w:rPr>
                <w:sz w:val="20"/>
                <w:szCs w:val="20"/>
                <w:vertAlign w:val="subscript"/>
                <w:lang w:val="en-US"/>
              </w:rPr>
              <w:t>3</w:t>
            </w:r>
            <w:r w:rsidRPr="00F970A5">
              <w:rPr>
                <w:sz w:val="20"/>
                <w:szCs w:val="20"/>
                <w:lang w:val="en-US"/>
              </w:rPr>
              <w:t>/NaOH</w:t>
            </w:r>
          </w:p>
        </w:tc>
        <w:tc>
          <w:tcPr>
            <w:tcW w:w="0" w:type="auto"/>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1-1.25</w:t>
            </w:r>
          </w:p>
        </w:tc>
        <w:tc>
          <w:tcPr>
            <w:tcW w:w="0" w:type="auto"/>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1.18</w:t>
            </w:r>
          </w:p>
        </w:tc>
        <w:tc>
          <w:tcPr>
            <w:tcW w:w="0" w:type="auto"/>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1.18</w:t>
            </w:r>
          </w:p>
        </w:tc>
        <w:tc>
          <w:tcPr>
            <w:tcW w:w="0" w:type="auto"/>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1.18</w:t>
            </w:r>
          </w:p>
        </w:tc>
        <w:tc>
          <w:tcPr>
            <w:tcW w:w="0" w:type="auto"/>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1.18</w:t>
            </w:r>
          </w:p>
        </w:tc>
        <w:tc>
          <w:tcPr>
            <w:tcW w:w="0" w:type="auto"/>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w:t>
            </w:r>
          </w:p>
        </w:tc>
      </w:tr>
      <w:tr w:rsidR="00417DA4" w:rsidRPr="00405C8B">
        <w:trPr>
          <w:trHeight w:val="70"/>
        </w:trPr>
        <w:tc>
          <w:tcPr>
            <w:tcW w:w="0" w:type="auto"/>
            <w:tcBorders>
              <w:top w:val="nil"/>
              <w:left w:val="single" w:sz="8" w:space="0" w:color="auto"/>
              <w:bottom w:val="single" w:sz="8" w:space="0" w:color="auto"/>
              <w:right w:val="single" w:sz="8" w:space="0" w:color="auto"/>
            </w:tcBorders>
            <w:noWrap/>
            <w:vAlign w:val="bottom"/>
          </w:tcPr>
          <w:p w:rsidR="00417DA4" w:rsidRPr="00405C8B" w:rsidRDefault="00417DA4" w:rsidP="00405C8B">
            <w:pPr>
              <w:pStyle w:val="NoSpacing"/>
              <w:jc w:val="center"/>
              <w:rPr>
                <w:b/>
                <w:bCs/>
                <w:sz w:val="20"/>
                <w:szCs w:val="20"/>
                <w:lang w:val="en-US"/>
              </w:rPr>
            </w:pPr>
            <w:r w:rsidRPr="00405C8B">
              <w:rPr>
                <w:b/>
                <w:bCs/>
                <w:sz w:val="20"/>
                <w:szCs w:val="20"/>
                <w:lang w:val="en-US"/>
              </w:rPr>
              <w:t>4</w:t>
            </w:r>
          </w:p>
        </w:tc>
        <w:tc>
          <w:tcPr>
            <w:tcW w:w="0" w:type="auto"/>
            <w:tcBorders>
              <w:top w:val="nil"/>
              <w:left w:val="nil"/>
              <w:bottom w:val="single" w:sz="8" w:space="0" w:color="auto"/>
              <w:right w:val="single" w:sz="8" w:space="0" w:color="auto"/>
            </w:tcBorders>
            <w:noWrap/>
            <w:vAlign w:val="bottom"/>
          </w:tcPr>
          <w:p w:rsidR="00417DA4" w:rsidRPr="00F970A5" w:rsidRDefault="00417DA4" w:rsidP="00405C8B">
            <w:pPr>
              <w:pStyle w:val="NoSpacing"/>
              <w:jc w:val="center"/>
              <w:rPr>
                <w:sz w:val="20"/>
                <w:szCs w:val="20"/>
                <w:lang w:val="en-US"/>
              </w:rPr>
            </w:pPr>
            <w:r w:rsidRPr="00F970A5">
              <w:rPr>
                <w:sz w:val="20"/>
                <w:szCs w:val="20"/>
                <w:lang w:val="en-US"/>
              </w:rPr>
              <w:t>water/solids</w:t>
            </w:r>
          </w:p>
        </w:tc>
        <w:tc>
          <w:tcPr>
            <w:tcW w:w="0" w:type="auto"/>
            <w:tcBorders>
              <w:top w:val="nil"/>
              <w:left w:val="nil"/>
              <w:bottom w:val="single" w:sz="4" w:space="0" w:color="auto"/>
              <w:right w:val="single" w:sz="4" w:space="0" w:color="auto"/>
            </w:tcBorders>
            <w:vAlign w:val="center"/>
          </w:tcPr>
          <w:p w:rsidR="00417DA4" w:rsidRPr="00F87045" w:rsidRDefault="00417DA4" w:rsidP="00405C8B">
            <w:pPr>
              <w:pStyle w:val="NoSpacing"/>
              <w:jc w:val="center"/>
              <w:rPr>
                <w:sz w:val="20"/>
                <w:szCs w:val="20"/>
                <w:lang w:val="en-US"/>
              </w:rPr>
            </w:pPr>
          </w:p>
          <w:p w:rsidR="00417DA4" w:rsidRPr="00F87045" w:rsidRDefault="00417DA4" w:rsidP="00405C8B">
            <w:pPr>
              <w:pStyle w:val="NoSpacing"/>
              <w:jc w:val="center"/>
              <w:rPr>
                <w:sz w:val="20"/>
                <w:szCs w:val="20"/>
                <w:lang w:val="en-US"/>
              </w:rPr>
            </w:pPr>
            <w:r w:rsidRPr="00F87045">
              <w:rPr>
                <w:sz w:val="20"/>
                <w:szCs w:val="20"/>
                <w:lang w:val="en-US"/>
              </w:rPr>
              <w:t>0.23-0.51</w:t>
            </w:r>
          </w:p>
        </w:tc>
        <w:tc>
          <w:tcPr>
            <w:tcW w:w="0" w:type="auto"/>
            <w:tcBorders>
              <w:top w:val="nil"/>
              <w:left w:val="nil"/>
              <w:bottom w:val="single" w:sz="4" w:space="0" w:color="auto"/>
              <w:right w:val="single" w:sz="4" w:space="0" w:color="auto"/>
            </w:tcBorders>
            <w:vAlign w:val="bottom"/>
          </w:tcPr>
          <w:p w:rsidR="00417DA4" w:rsidRPr="00F87045" w:rsidRDefault="00417DA4" w:rsidP="00405C8B">
            <w:pPr>
              <w:pStyle w:val="NoSpacing"/>
              <w:jc w:val="center"/>
              <w:rPr>
                <w:sz w:val="20"/>
                <w:szCs w:val="20"/>
                <w:lang w:val="en-US"/>
              </w:rPr>
            </w:pPr>
            <w:r w:rsidRPr="00F87045">
              <w:rPr>
                <w:sz w:val="20"/>
                <w:szCs w:val="20"/>
                <w:lang w:val="en-US"/>
              </w:rPr>
              <w:t>0.24</w:t>
            </w:r>
          </w:p>
        </w:tc>
        <w:tc>
          <w:tcPr>
            <w:tcW w:w="0" w:type="auto"/>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0.26</w:t>
            </w:r>
          </w:p>
        </w:tc>
        <w:tc>
          <w:tcPr>
            <w:tcW w:w="0" w:type="auto"/>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0.30</w:t>
            </w:r>
          </w:p>
        </w:tc>
        <w:tc>
          <w:tcPr>
            <w:tcW w:w="0" w:type="auto"/>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0.33</w:t>
            </w:r>
          </w:p>
        </w:tc>
        <w:tc>
          <w:tcPr>
            <w:tcW w:w="0" w:type="auto"/>
            <w:tcBorders>
              <w:top w:val="nil"/>
              <w:left w:val="nil"/>
              <w:bottom w:val="single" w:sz="4" w:space="0" w:color="auto"/>
              <w:right w:val="single" w:sz="4" w:space="0" w:color="auto"/>
            </w:tcBorders>
            <w:noWrap/>
            <w:vAlign w:val="bottom"/>
          </w:tcPr>
          <w:p w:rsidR="00417DA4" w:rsidRPr="00F87045" w:rsidRDefault="00417DA4" w:rsidP="00405C8B">
            <w:pPr>
              <w:pStyle w:val="NoSpacing"/>
              <w:jc w:val="center"/>
              <w:rPr>
                <w:sz w:val="20"/>
                <w:szCs w:val="20"/>
                <w:lang w:val="en-US"/>
              </w:rPr>
            </w:pPr>
            <w:r w:rsidRPr="00F87045">
              <w:rPr>
                <w:sz w:val="20"/>
                <w:szCs w:val="20"/>
                <w:lang w:val="en-US"/>
              </w:rPr>
              <w:t>0.37</w:t>
            </w:r>
          </w:p>
        </w:tc>
      </w:tr>
    </w:tbl>
    <w:p w:rsidR="00417DA4" w:rsidRDefault="00417DA4" w:rsidP="0043268B">
      <w:pPr>
        <w:rPr>
          <w:lang w:val="en-US"/>
        </w:rPr>
      </w:pPr>
    </w:p>
    <w:p w:rsidR="00417DA4" w:rsidRPr="0043268B" w:rsidRDefault="00417DA4" w:rsidP="0043268B">
      <w:pPr>
        <w:rPr>
          <w:lang w:val="en-US"/>
        </w:rPr>
      </w:pPr>
      <w:r w:rsidRPr="0043268B">
        <w:rPr>
          <w:lang w:val="en-US"/>
        </w:rPr>
        <w:t xml:space="preserve">The representation of individual components and percentage of constituents in tested mixtures T1 – T5 are characterized in Table 4. </w:t>
      </w:r>
    </w:p>
    <w:p w:rsidR="00417DA4" w:rsidRDefault="00417DA4" w:rsidP="007E3A5D">
      <w:pPr>
        <w:rPr>
          <w:lang w:val="en-US"/>
        </w:rPr>
      </w:pPr>
      <w:r w:rsidRPr="00ED3E6E">
        <w:rPr>
          <w:b/>
          <w:bCs/>
          <w:lang w:val="en-US"/>
        </w:rPr>
        <w:t xml:space="preserve">Table </w:t>
      </w:r>
      <w:r>
        <w:rPr>
          <w:b/>
          <w:bCs/>
          <w:lang w:val="en-US"/>
        </w:rPr>
        <w:t>4</w:t>
      </w:r>
      <w:r w:rsidRPr="00ED3E6E">
        <w:rPr>
          <w:b/>
          <w:bCs/>
          <w:lang w:val="en-US"/>
        </w:rPr>
        <w:t>.</w:t>
      </w:r>
      <w:r w:rsidRPr="00ED3E6E">
        <w:rPr>
          <w:lang w:val="en-US"/>
        </w:rPr>
        <w:t xml:space="preserve"> </w:t>
      </w:r>
      <w:r w:rsidRPr="00B359D5">
        <w:rPr>
          <w:lang w:val="en-US"/>
        </w:rPr>
        <w:t>The composition of experimental geopolymer mixtures</w:t>
      </w:r>
    </w:p>
    <w:tbl>
      <w:tblPr>
        <w:tblW w:w="6340" w:type="dxa"/>
        <w:tblInd w:w="-68" w:type="dxa"/>
        <w:tblCellMar>
          <w:left w:w="70" w:type="dxa"/>
          <w:right w:w="70" w:type="dxa"/>
        </w:tblCellMar>
        <w:tblLook w:val="0000"/>
      </w:tblPr>
      <w:tblGrid>
        <w:gridCol w:w="2219"/>
        <w:gridCol w:w="1759"/>
        <w:gridCol w:w="474"/>
        <w:gridCol w:w="442"/>
        <w:gridCol w:w="561"/>
        <w:gridCol w:w="442"/>
        <w:gridCol w:w="443"/>
      </w:tblGrid>
      <w:tr w:rsidR="00417DA4" w:rsidRPr="00D22222">
        <w:trPr>
          <w:trHeight w:val="307"/>
        </w:trPr>
        <w:tc>
          <w:tcPr>
            <w:tcW w:w="3978" w:type="dxa"/>
            <w:gridSpan w:val="2"/>
            <w:tcBorders>
              <w:top w:val="single" w:sz="8" w:space="0" w:color="auto"/>
              <w:left w:val="single" w:sz="8" w:space="0" w:color="auto"/>
              <w:bottom w:val="nil"/>
              <w:right w:val="single" w:sz="8" w:space="0" w:color="000000"/>
            </w:tcBorders>
            <w:noWrap/>
            <w:vAlign w:val="bottom"/>
          </w:tcPr>
          <w:p w:rsidR="00417DA4" w:rsidRPr="00D22222" w:rsidRDefault="00417DA4" w:rsidP="00D22222">
            <w:pPr>
              <w:pStyle w:val="NoSpacing"/>
              <w:jc w:val="center"/>
              <w:rPr>
                <w:b/>
                <w:bCs/>
                <w:sz w:val="20"/>
                <w:szCs w:val="20"/>
                <w:lang w:val="en-US"/>
              </w:rPr>
            </w:pPr>
            <w:r w:rsidRPr="00D22222">
              <w:rPr>
                <w:b/>
                <w:bCs/>
                <w:sz w:val="20"/>
                <w:szCs w:val="20"/>
                <w:lang w:val="en-US"/>
              </w:rPr>
              <w:t>Composition of fillers</w:t>
            </w:r>
          </w:p>
        </w:tc>
        <w:tc>
          <w:tcPr>
            <w:tcW w:w="2362" w:type="dxa"/>
            <w:gridSpan w:val="5"/>
            <w:tcBorders>
              <w:top w:val="single" w:sz="8" w:space="0" w:color="auto"/>
              <w:left w:val="nil"/>
              <w:bottom w:val="single" w:sz="8" w:space="0" w:color="000000"/>
              <w:right w:val="single" w:sz="8" w:space="0" w:color="000000"/>
            </w:tcBorders>
            <w:noWrap/>
          </w:tcPr>
          <w:p w:rsidR="00417DA4" w:rsidRPr="00D22222" w:rsidRDefault="00417DA4" w:rsidP="00D22222">
            <w:pPr>
              <w:pStyle w:val="NoSpacing"/>
              <w:jc w:val="center"/>
              <w:rPr>
                <w:b/>
                <w:bCs/>
                <w:sz w:val="20"/>
                <w:szCs w:val="20"/>
                <w:lang w:val="en-US"/>
              </w:rPr>
            </w:pPr>
            <w:r w:rsidRPr="00D22222">
              <w:rPr>
                <w:b/>
                <w:bCs/>
                <w:sz w:val="20"/>
                <w:szCs w:val="20"/>
                <w:lang w:val="en-US"/>
              </w:rPr>
              <w:t>Mixtures</w:t>
            </w:r>
          </w:p>
        </w:tc>
      </w:tr>
      <w:tr w:rsidR="00417DA4" w:rsidRPr="00D22222">
        <w:trPr>
          <w:trHeight w:val="307"/>
        </w:trPr>
        <w:tc>
          <w:tcPr>
            <w:tcW w:w="3978" w:type="dxa"/>
            <w:gridSpan w:val="2"/>
            <w:tcBorders>
              <w:top w:val="nil"/>
              <w:left w:val="single" w:sz="8" w:space="0" w:color="auto"/>
              <w:bottom w:val="single" w:sz="8" w:space="0" w:color="auto"/>
              <w:right w:val="single" w:sz="8" w:space="0" w:color="000000"/>
            </w:tcBorders>
            <w:noWrap/>
            <w:vAlign w:val="bottom"/>
          </w:tcPr>
          <w:p w:rsidR="00417DA4" w:rsidRPr="00D22222" w:rsidRDefault="00417DA4" w:rsidP="00D22222">
            <w:pPr>
              <w:pStyle w:val="NoSpacing"/>
              <w:jc w:val="center"/>
              <w:rPr>
                <w:b/>
                <w:bCs/>
                <w:sz w:val="20"/>
                <w:szCs w:val="20"/>
                <w:lang w:val="en-US"/>
              </w:rPr>
            </w:pPr>
            <w:r w:rsidRPr="00D22222">
              <w:rPr>
                <w:b/>
                <w:bCs/>
                <w:sz w:val="20"/>
                <w:szCs w:val="20"/>
                <w:lang w:val="en-US"/>
              </w:rPr>
              <w:t>[%]</w:t>
            </w:r>
          </w:p>
        </w:tc>
        <w:tc>
          <w:tcPr>
            <w:tcW w:w="474" w:type="dxa"/>
            <w:tcBorders>
              <w:top w:val="nil"/>
              <w:left w:val="nil"/>
              <w:bottom w:val="single" w:sz="8" w:space="0" w:color="auto"/>
              <w:right w:val="single" w:sz="8" w:space="0" w:color="000000"/>
            </w:tcBorders>
            <w:noWrap/>
            <w:vAlign w:val="bottom"/>
          </w:tcPr>
          <w:p w:rsidR="00417DA4" w:rsidRPr="00D22222" w:rsidRDefault="00417DA4" w:rsidP="00D22222">
            <w:pPr>
              <w:pStyle w:val="NoSpacing"/>
              <w:jc w:val="center"/>
              <w:rPr>
                <w:b/>
                <w:bCs/>
                <w:sz w:val="20"/>
                <w:szCs w:val="20"/>
                <w:lang w:val="en-US"/>
              </w:rPr>
            </w:pPr>
            <w:r w:rsidRPr="00D22222">
              <w:rPr>
                <w:b/>
                <w:bCs/>
                <w:sz w:val="20"/>
                <w:szCs w:val="20"/>
                <w:lang w:val="en-US"/>
              </w:rPr>
              <w:t>T1</w:t>
            </w:r>
          </w:p>
        </w:tc>
        <w:tc>
          <w:tcPr>
            <w:tcW w:w="442" w:type="dxa"/>
            <w:tcBorders>
              <w:top w:val="nil"/>
              <w:left w:val="nil"/>
              <w:bottom w:val="single" w:sz="8" w:space="0" w:color="auto"/>
              <w:right w:val="single" w:sz="8" w:space="0" w:color="000000"/>
            </w:tcBorders>
            <w:noWrap/>
            <w:vAlign w:val="bottom"/>
          </w:tcPr>
          <w:p w:rsidR="00417DA4" w:rsidRPr="00D22222" w:rsidRDefault="00417DA4" w:rsidP="00D22222">
            <w:pPr>
              <w:pStyle w:val="NoSpacing"/>
              <w:jc w:val="center"/>
              <w:rPr>
                <w:b/>
                <w:bCs/>
                <w:sz w:val="20"/>
                <w:szCs w:val="20"/>
                <w:lang w:val="en-US"/>
              </w:rPr>
            </w:pPr>
            <w:r w:rsidRPr="00D22222">
              <w:rPr>
                <w:b/>
                <w:bCs/>
                <w:sz w:val="20"/>
                <w:szCs w:val="20"/>
                <w:lang w:val="en-US"/>
              </w:rPr>
              <w:t>T2</w:t>
            </w:r>
          </w:p>
        </w:tc>
        <w:tc>
          <w:tcPr>
            <w:tcW w:w="561" w:type="dxa"/>
            <w:tcBorders>
              <w:top w:val="nil"/>
              <w:left w:val="nil"/>
              <w:bottom w:val="single" w:sz="8" w:space="0" w:color="auto"/>
              <w:right w:val="single" w:sz="8" w:space="0" w:color="000000"/>
            </w:tcBorders>
            <w:noWrap/>
            <w:vAlign w:val="bottom"/>
          </w:tcPr>
          <w:p w:rsidR="00417DA4" w:rsidRPr="00D22222" w:rsidRDefault="00417DA4" w:rsidP="00D22222">
            <w:pPr>
              <w:pStyle w:val="NoSpacing"/>
              <w:jc w:val="center"/>
              <w:rPr>
                <w:b/>
                <w:bCs/>
                <w:sz w:val="20"/>
                <w:szCs w:val="20"/>
                <w:lang w:val="en-US"/>
              </w:rPr>
            </w:pPr>
            <w:r w:rsidRPr="00D22222">
              <w:rPr>
                <w:b/>
                <w:bCs/>
                <w:sz w:val="20"/>
                <w:szCs w:val="20"/>
                <w:lang w:val="en-US"/>
              </w:rPr>
              <w:t>T3</w:t>
            </w:r>
          </w:p>
        </w:tc>
        <w:tc>
          <w:tcPr>
            <w:tcW w:w="442" w:type="dxa"/>
            <w:tcBorders>
              <w:top w:val="nil"/>
              <w:left w:val="nil"/>
              <w:bottom w:val="single" w:sz="8" w:space="0" w:color="auto"/>
              <w:right w:val="single" w:sz="8" w:space="0" w:color="000000"/>
            </w:tcBorders>
            <w:noWrap/>
            <w:vAlign w:val="bottom"/>
          </w:tcPr>
          <w:p w:rsidR="00417DA4" w:rsidRPr="00D22222" w:rsidRDefault="00417DA4" w:rsidP="00D22222">
            <w:pPr>
              <w:pStyle w:val="NoSpacing"/>
              <w:jc w:val="center"/>
              <w:rPr>
                <w:b/>
                <w:bCs/>
                <w:sz w:val="20"/>
                <w:szCs w:val="20"/>
                <w:lang w:val="en-US"/>
              </w:rPr>
            </w:pPr>
            <w:r w:rsidRPr="00D22222">
              <w:rPr>
                <w:b/>
                <w:bCs/>
                <w:sz w:val="20"/>
                <w:szCs w:val="20"/>
                <w:lang w:val="en-US"/>
              </w:rPr>
              <w:t>T4</w:t>
            </w:r>
          </w:p>
        </w:tc>
        <w:tc>
          <w:tcPr>
            <w:tcW w:w="443" w:type="dxa"/>
            <w:tcBorders>
              <w:top w:val="nil"/>
              <w:left w:val="nil"/>
              <w:bottom w:val="single" w:sz="8" w:space="0" w:color="auto"/>
              <w:right w:val="single" w:sz="8" w:space="0" w:color="auto"/>
            </w:tcBorders>
            <w:noWrap/>
            <w:vAlign w:val="bottom"/>
          </w:tcPr>
          <w:p w:rsidR="00417DA4" w:rsidRPr="00D22222" w:rsidRDefault="00417DA4" w:rsidP="00D22222">
            <w:pPr>
              <w:pStyle w:val="NoSpacing"/>
              <w:jc w:val="center"/>
              <w:rPr>
                <w:b/>
                <w:bCs/>
                <w:sz w:val="20"/>
                <w:szCs w:val="20"/>
                <w:lang w:val="en-US"/>
              </w:rPr>
            </w:pPr>
            <w:r w:rsidRPr="00D22222">
              <w:rPr>
                <w:b/>
                <w:bCs/>
                <w:sz w:val="20"/>
                <w:szCs w:val="20"/>
                <w:lang w:val="en-US"/>
              </w:rPr>
              <w:t>T5</w:t>
            </w:r>
          </w:p>
        </w:tc>
      </w:tr>
      <w:tr w:rsidR="00417DA4" w:rsidRPr="00D22222">
        <w:trPr>
          <w:trHeight w:val="307"/>
        </w:trPr>
        <w:tc>
          <w:tcPr>
            <w:tcW w:w="2219" w:type="dxa"/>
            <w:tcBorders>
              <w:top w:val="nil"/>
              <w:left w:val="single" w:sz="8" w:space="0" w:color="000000"/>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 xml:space="preserve">Ground fly ash </w:t>
            </w:r>
          </w:p>
        </w:tc>
        <w:tc>
          <w:tcPr>
            <w:tcW w:w="1759" w:type="dxa"/>
            <w:tcBorders>
              <w:top w:val="nil"/>
              <w:left w:val="nil"/>
              <w:bottom w:val="nil"/>
              <w:right w:val="single" w:sz="8" w:space="0" w:color="000000"/>
            </w:tcBorders>
          </w:tcPr>
          <w:p w:rsidR="00417DA4" w:rsidRPr="00D22222" w:rsidRDefault="00417DA4" w:rsidP="00D22222">
            <w:pPr>
              <w:pStyle w:val="NoSpacing"/>
              <w:jc w:val="center"/>
              <w:rPr>
                <w:sz w:val="20"/>
                <w:szCs w:val="20"/>
                <w:lang w:val="en-US"/>
              </w:rPr>
            </w:pPr>
            <w:r w:rsidRPr="00D22222">
              <w:rPr>
                <w:sz w:val="20"/>
                <w:szCs w:val="20"/>
                <w:lang w:val="en-US"/>
              </w:rPr>
              <w:t> </w:t>
            </w:r>
          </w:p>
        </w:tc>
        <w:tc>
          <w:tcPr>
            <w:tcW w:w="474"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100</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50</w:t>
            </w:r>
          </w:p>
        </w:tc>
        <w:tc>
          <w:tcPr>
            <w:tcW w:w="561"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70</w:t>
            </w:r>
          </w:p>
        </w:tc>
        <w:tc>
          <w:tcPr>
            <w:tcW w:w="443"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70</w:t>
            </w:r>
          </w:p>
        </w:tc>
      </w:tr>
      <w:tr w:rsidR="00417DA4" w:rsidRPr="00D22222">
        <w:trPr>
          <w:trHeight w:val="598"/>
        </w:trPr>
        <w:tc>
          <w:tcPr>
            <w:tcW w:w="2219" w:type="dxa"/>
            <w:tcBorders>
              <w:top w:val="nil"/>
              <w:left w:val="single" w:sz="8" w:space="0" w:color="000000"/>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Unground fly ash</w:t>
            </w:r>
          </w:p>
        </w:tc>
        <w:tc>
          <w:tcPr>
            <w:tcW w:w="1759" w:type="dxa"/>
            <w:tcBorders>
              <w:top w:val="nil"/>
              <w:left w:val="nil"/>
              <w:bottom w:val="nil"/>
              <w:right w:val="single" w:sz="8" w:space="0" w:color="000000"/>
            </w:tcBorders>
          </w:tcPr>
          <w:p w:rsidR="00417DA4" w:rsidRPr="00D22222" w:rsidRDefault="00417DA4" w:rsidP="00D22222">
            <w:pPr>
              <w:pStyle w:val="NoSpacing"/>
              <w:jc w:val="center"/>
              <w:rPr>
                <w:sz w:val="20"/>
                <w:szCs w:val="20"/>
                <w:lang w:val="en-US"/>
              </w:rPr>
            </w:pPr>
            <w:r w:rsidRPr="00D22222">
              <w:rPr>
                <w:sz w:val="20"/>
                <w:szCs w:val="20"/>
                <w:lang w:val="en-US"/>
              </w:rPr>
              <w:t>46% of mixture volume</w:t>
            </w:r>
          </w:p>
        </w:tc>
        <w:tc>
          <w:tcPr>
            <w:tcW w:w="474"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50</w:t>
            </w:r>
          </w:p>
        </w:tc>
        <w:tc>
          <w:tcPr>
            <w:tcW w:w="561"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100</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3"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r>
      <w:tr w:rsidR="00417DA4" w:rsidRPr="00D22222">
        <w:trPr>
          <w:trHeight w:val="307"/>
        </w:trPr>
        <w:tc>
          <w:tcPr>
            <w:tcW w:w="2219" w:type="dxa"/>
            <w:tcBorders>
              <w:top w:val="nil"/>
              <w:left w:val="single" w:sz="8" w:space="0" w:color="000000"/>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Sludge</w:t>
            </w:r>
          </w:p>
        </w:tc>
        <w:tc>
          <w:tcPr>
            <w:tcW w:w="1759" w:type="dxa"/>
            <w:tcBorders>
              <w:top w:val="nil"/>
              <w:left w:val="nil"/>
              <w:bottom w:val="single" w:sz="8" w:space="0" w:color="000000"/>
              <w:right w:val="single" w:sz="8" w:space="0" w:color="000000"/>
            </w:tcBorders>
          </w:tcPr>
          <w:p w:rsidR="00417DA4" w:rsidRPr="00D22222" w:rsidRDefault="00417DA4" w:rsidP="00D22222">
            <w:pPr>
              <w:pStyle w:val="NoSpacing"/>
              <w:jc w:val="center"/>
              <w:rPr>
                <w:sz w:val="20"/>
                <w:szCs w:val="20"/>
                <w:lang w:val="en-US"/>
              </w:rPr>
            </w:pPr>
            <w:r w:rsidRPr="00D22222">
              <w:rPr>
                <w:sz w:val="20"/>
                <w:szCs w:val="20"/>
                <w:lang w:val="en-US"/>
              </w:rPr>
              <w:t> </w:t>
            </w:r>
          </w:p>
        </w:tc>
        <w:tc>
          <w:tcPr>
            <w:tcW w:w="474"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561"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30</w:t>
            </w:r>
          </w:p>
        </w:tc>
        <w:tc>
          <w:tcPr>
            <w:tcW w:w="443"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30</w:t>
            </w:r>
          </w:p>
        </w:tc>
      </w:tr>
      <w:tr w:rsidR="00417DA4" w:rsidRPr="00D22222">
        <w:trPr>
          <w:trHeight w:val="307"/>
        </w:trPr>
        <w:tc>
          <w:tcPr>
            <w:tcW w:w="6340" w:type="dxa"/>
            <w:gridSpan w:val="7"/>
            <w:tcBorders>
              <w:top w:val="single" w:sz="8" w:space="0" w:color="000000"/>
              <w:left w:val="single" w:sz="8" w:space="0" w:color="000000"/>
              <w:bottom w:val="single" w:sz="8" w:space="0" w:color="000000"/>
              <w:right w:val="single" w:sz="8" w:space="0" w:color="000000"/>
            </w:tcBorders>
            <w:noWrap/>
          </w:tcPr>
          <w:p w:rsidR="00417DA4" w:rsidRPr="00D22222" w:rsidRDefault="00417DA4" w:rsidP="00D22222">
            <w:pPr>
              <w:pStyle w:val="NoSpacing"/>
              <w:jc w:val="center"/>
              <w:rPr>
                <w:b/>
                <w:bCs/>
                <w:sz w:val="20"/>
                <w:szCs w:val="20"/>
                <w:lang w:val="en-US"/>
              </w:rPr>
            </w:pPr>
            <w:r w:rsidRPr="00D22222">
              <w:rPr>
                <w:b/>
                <w:bCs/>
                <w:sz w:val="20"/>
                <w:szCs w:val="20"/>
                <w:lang w:val="en-US"/>
              </w:rPr>
              <w:t>Presence of other components</w:t>
            </w:r>
          </w:p>
        </w:tc>
      </w:tr>
      <w:tr w:rsidR="00417DA4" w:rsidRPr="00D22222">
        <w:trPr>
          <w:trHeight w:val="307"/>
        </w:trPr>
        <w:tc>
          <w:tcPr>
            <w:tcW w:w="2219" w:type="dxa"/>
            <w:tcBorders>
              <w:top w:val="nil"/>
              <w:left w:val="single" w:sz="8" w:space="0" w:color="000000"/>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GGBFS</w:t>
            </w:r>
          </w:p>
        </w:tc>
        <w:tc>
          <w:tcPr>
            <w:tcW w:w="1759" w:type="dxa"/>
            <w:tcBorders>
              <w:top w:val="nil"/>
              <w:left w:val="nil"/>
              <w:bottom w:val="single" w:sz="8" w:space="0" w:color="000000"/>
              <w:right w:val="single" w:sz="8" w:space="0" w:color="000000"/>
            </w:tcBorders>
          </w:tcPr>
          <w:p w:rsidR="00417DA4" w:rsidRPr="00D22222" w:rsidRDefault="00417DA4" w:rsidP="00D22222">
            <w:pPr>
              <w:pStyle w:val="NoSpacing"/>
              <w:jc w:val="center"/>
              <w:rPr>
                <w:sz w:val="20"/>
                <w:szCs w:val="20"/>
                <w:lang w:val="en-US"/>
              </w:rPr>
            </w:pPr>
            <w:r w:rsidRPr="00D22222">
              <w:rPr>
                <w:sz w:val="20"/>
                <w:szCs w:val="20"/>
                <w:lang w:val="en-US"/>
              </w:rPr>
              <w:t>20% of fly ash</w:t>
            </w:r>
          </w:p>
        </w:tc>
        <w:tc>
          <w:tcPr>
            <w:tcW w:w="474"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561"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3"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r>
      <w:tr w:rsidR="00417DA4" w:rsidRPr="00D22222">
        <w:trPr>
          <w:trHeight w:val="342"/>
        </w:trPr>
        <w:tc>
          <w:tcPr>
            <w:tcW w:w="2219" w:type="dxa"/>
            <w:tcBorders>
              <w:top w:val="nil"/>
              <w:left w:val="single" w:sz="8" w:space="0" w:color="000000"/>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Na</w:t>
            </w:r>
            <w:r w:rsidRPr="00906E01">
              <w:rPr>
                <w:sz w:val="20"/>
                <w:szCs w:val="20"/>
                <w:vertAlign w:val="subscript"/>
                <w:lang w:val="en-US"/>
              </w:rPr>
              <w:t>2</w:t>
            </w:r>
            <w:r w:rsidRPr="00D22222">
              <w:rPr>
                <w:sz w:val="20"/>
                <w:szCs w:val="20"/>
                <w:lang w:val="en-US"/>
              </w:rPr>
              <w:t>SiO</w:t>
            </w:r>
            <w:r w:rsidRPr="00906E01">
              <w:rPr>
                <w:sz w:val="20"/>
                <w:szCs w:val="20"/>
                <w:vertAlign w:val="subscript"/>
                <w:lang w:val="en-US"/>
              </w:rPr>
              <w:t>3</w:t>
            </w:r>
          </w:p>
        </w:tc>
        <w:tc>
          <w:tcPr>
            <w:tcW w:w="1759" w:type="dxa"/>
            <w:tcBorders>
              <w:top w:val="nil"/>
              <w:left w:val="nil"/>
              <w:bottom w:val="single" w:sz="8" w:space="0" w:color="000000"/>
              <w:right w:val="single" w:sz="8" w:space="0" w:color="000000"/>
            </w:tcBorders>
          </w:tcPr>
          <w:p w:rsidR="00417DA4" w:rsidRPr="00D22222" w:rsidRDefault="00417DA4" w:rsidP="00D22222">
            <w:pPr>
              <w:pStyle w:val="NoSpacing"/>
              <w:jc w:val="center"/>
              <w:rPr>
                <w:sz w:val="20"/>
                <w:szCs w:val="20"/>
                <w:lang w:val="en-US"/>
              </w:rPr>
            </w:pPr>
            <w:r w:rsidRPr="00D22222">
              <w:rPr>
                <w:sz w:val="20"/>
                <w:szCs w:val="20"/>
                <w:lang w:val="en-US"/>
              </w:rPr>
              <w:t>16% of fly ash</w:t>
            </w:r>
          </w:p>
        </w:tc>
        <w:tc>
          <w:tcPr>
            <w:tcW w:w="474"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561"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3"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r>
      <w:tr w:rsidR="00417DA4" w:rsidRPr="00D22222">
        <w:trPr>
          <w:trHeight w:val="307"/>
        </w:trPr>
        <w:tc>
          <w:tcPr>
            <w:tcW w:w="2219" w:type="dxa"/>
            <w:tcBorders>
              <w:top w:val="nil"/>
              <w:left w:val="single" w:sz="8" w:space="0" w:color="000000"/>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8M NaOH</w:t>
            </w:r>
          </w:p>
        </w:tc>
        <w:tc>
          <w:tcPr>
            <w:tcW w:w="1759" w:type="dxa"/>
            <w:tcBorders>
              <w:top w:val="nil"/>
              <w:left w:val="nil"/>
              <w:bottom w:val="single" w:sz="8" w:space="0" w:color="000000"/>
              <w:right w:val="single" w:sz="8" w:space="0" w:color="000000"/>
            </w:tcBorders>
          </w:tcPr>
          <w:p w:rsidR="00417DA4" w:rsidRPr="00D22222" w:rsidRDefault="00417DA4" w:rsidP="00D22222">
            <w:pPr>
              <w:pStyle w:val="NoSpacing"/>
              <w:jc w:val="center"/>
              <w:rPr>
                <w:sz w:val="20"/>
                <w:szCs w:val="20"/>
                <w:lang w:val="en-US"/>
              </w:rPr>
            </w:pPr>
            <w:r w:rsidRPr="00D22222">
              <w:rPr>
                <w:sz w:val="20"/>
                <w:szCs w:val="20"/>
                <w:lang w:val="en-US"/>
              </w:rPr>
              <w:t>16.5 % of fly ash</w:t>
            </w:r>
          </w:p>
        </w:tc>
        <w:tc>
          <w:tcPr>
            <w:tcW w:w="474"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561"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3"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r>
      <w:tr w:rsidR="00417DA4" w:rsidRPr="00D22222">
        <w:trPr>
          <w:trHeight w:val="307"/>
        </w:trPr>
        <w:tc>
          <w:tcPr>
            <w:tcW w:w="3978" w:type="dxa"/>
            <w:gridSpan w:val="2"/>
            <w:tcBorders>
              <w:top w:val="single" w:sz="8" w:space="0" w:color="000000"/>
              <w:left w:val="single" w:sz="8" w:space="0" w:color="000000"/>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Cement</w:t>
            </w:r>
          </w:p>
        </w:tc>
        <w:tc>
          <w:tcPr>
            <w:tcW w:w="474"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561"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3"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r>
      <w:tr w:rsidR="00417DA4" w:rsidRPr="00D22222">
        <w:trPr>
          <w:trHeight w:val="307"/>
        </w:trPr>
        <w:tc>
          <w:tcPr>
            <w:tcW w:w="3978" w:type="dxa"/>
            <w:gridSpan w:val="2"/>
            <w:tcBorders>
              <w:top w:val="single" w:sz="8" w:space="0" w:color="000000"/>
              <w:left w:val="single" w:sz="8" w:space="0" w:color="000000"/>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Water</w:t>
            </w:r>
          </w:p>
        </w:tc>
        <w:tc>
          <w:tcPr>
            <w:tcW w:w="474"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561"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3"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r>
      <w:tr w:rsidR="00417DA4" w:rsidRPr="00D22222">
        <w:trPr>
          <w:trHeight w:val="307"/>
        </w:trPr>
        <w:tc>
          <w:tcPr>
            <w:tcW w:w="3978" w:type="dxa"/>
            <w:gridSpan w:val="2"/>
            <w:tcBorders>
              <w:top w:val="single" w:sz="8" w:space="0" w:color="000000"/>
              <w:left w:val="single" w:sz="8" w:space="0" w:color="000000"/>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Plasticizer</w:t>
            </w:r>
          </w:p>
        </w:tc>
        <w:tc>
          <w:tcPr>
            <w:tcW w:w="474"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561"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2"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c>
          <w:tcPr>
            <w:tcW w:w="443" w:type="dxa"/>
            <w:tcBorders>
              <w:top w:val="nil"/>
              <w:left w:val="nil"/>
              <w:bottom w:val="single" w:sz="8" w:space="0" w:color="000000"/>
              <w:right w:val="single" w:sz="8" w:space="0" w:color="000000"/>
            </w:tcBorders>
            <w:noWrap/>
          </w:tcPr>
          <w:p w:rsidR="00417DA4" w:rsidRPr="00D22222" w:rsidRDefault="00417DA4" w:rsidP="00D22222">
            <w:pPr>
              <w:pStyle w:val="NoSpacing"/>
              <w:jc w:val="center"/>
              <w:rPr>
                <w:sz w:val="20"/>
                <w:szCs w:val="20"/>
                <w:lang w:val="en-US"/>
              </w:rPr>
            </w:pPr>
            <w:r w:rsidRPr="00D22222">
              <w:rPr>
                <w:sz w:val="20"/>
                <w:szCs w:val="20"/>
                <w:lang w:val="en-US"/>
              </w:rPr>
              <w:t>•</w:t>
            </w:r>
          </w:p>
        </w:tc>
      </w:tr>
    </w:tbl>
    <w:p w:rsidR="00417DA4" w:rsidRDefault="00417DA4" w:rsidP="00B95D64"/>
    <w:p w:rsidR="00417DA4" w:rsidRPr="00612DBB" w:rsidRDefault="00417DA4" w:rsidP="00DB544B">
      <w:r w:rsidRPr="00B95D64">
        <w:t xml:space="preserve">The samples with the dimensions of 4x4x16 cm were kept at the laboratory </w:t>
      </w:r>
      <w:r w:rsidRPr="00FC2104">
        <w:t>temperature in the environment with the relative humidity of 50% for 28 days; dry bulk density, compressive and flexural strength,</w:t>
      </w:r>
      <w:r w:rsidRPr="00B95D64">
        <w:t xml:space="preserve"> </w:t>
      </w:r>
      <w:r>
        <w:t>absorptivity and</w:t>
      </w:r>
      <w:r w:rsidRPr="00B95D64">
        <w:t xml:space="preserve"> capillarity, were then determined.</w:t>
      </w:r>
      <w:r>
        <w:t xml:space="preserve"> </w:t>
      </w:r>
      <w:r w:rsidRPr="00E66DD2">
        <w:rPr>
          <w:color w:val="000000"/>
        </w:rPr>
        <w:t xml:space="preserve">In accordance with </w:t>
      </w:r>
      <w:r>
        <w:rPr>
          <w:color w:val="000000"/>
        </w:rPr>
        <w:t>standards</w:t>
      </w:r>
      <w:r w:rsidRPr="00E66DD2">
        <w:rPr>
          <w:color w:val="000000"/>
        </w:rPr>
        <w:t xml:space="preserve">, </w:t>
      </w:r>
      <w:r>
        <w:t>t</w:t>
      </w:r>
      <w:r w:rsidRPr="00DB544B">
        <w:t xml:space="preserve">he </w:t>
      </w:r>
      <w:r w:rsidRPr="00DB544B">
        <w:rPr>
          <w:lang w:val="sk-SK"/>
        </w:rPr>
        <w:t>methods of testing</w:t>
      </w:r>
      <w:r w:rsidRPr="00DB544B">
        <w:t xml:space="preserve"> </w:t>
      </w:r>
      <w:r w:rsidRPr="00DB544B">
        <w:rPr>
          <w:lang w:val="sk-SK"/>
        </w:rPr>
        <w:t xml:space="preserve">of </w:t>
      </w:r>
      <w:r w:rsidRPr="00DB544B">
        <w:t xml:space="preserve">mixtures were as </w:t>
      </w:r>
      <w:r w:rsidRPr="00DB544B">
        <w:rPr>
          <w:lang w:val="en-US"/>
        </w:rPr>
        <w:t>follows</w:t>
      </w:r>
      <w:r>
        <w:rPr>
          <w:lang w:val="en-US"/>
        </w:rPr>
        <w:t>:</w:t>
      </w:r>
    </w:p>
    <w:p w:rsidR="00417DA4" w:rsidRPr="00DB544B" w:rsidRDefault="00417DA4" w:rsidP="00DB544B">
      <w:pPr>
        <w:pStyle w:val="ListParagraph"/>
        <w:numPr>
          <w:ilvl w:val="0"/>
          <w:numId w:val="4"/>
        </w:numPr>
        <w:rPr>
          <w:lang w:val="en-US"/>
        </w:rPr>
      </w:pPr>
      <w:r w:rsidRPr="00DB544B">
        <w:rPr>
          <w:b/>
          <w:bCs/>
          <w:lang w:val="en-US"/>
        </w:rPr>
        <w:t>Dry bulk density</w:t>
      </w:r>
      <w:r>
        <w:rPr>
          <w:lang w:val="en-US"/>
        </w:rPr>
        <w:t xml:space="preserve"> (STN EN 1015-10, 2001) </w:t>
      </w:r>
    </w:p>
    <w:p w:rsidR="00417DA4" w:rsidRPr="00DB544B" w:rsidRDefault="00417DA4" w:rsidP="00DB544B">
      <w:pPr>
        <w:pStyle w:val="ListParagraph"/>
        <w:numPr>
          <w:ilvl w:val="0"/>
          <w:numId w:val="4"/>
        </w:numPr>
        <w:rPr>
          <w:lang w:val="en-US"/>
        </w:rPr>
      </w:pPr>
      <w:r w:rsidRPr="00DB544B">
        <w:rPr>
          <w:b/>
          <w:bCs/>
        </w:rPr>
        <w:t>Compressive and flexural strength</w:t>
      </w:r>
      <w:r>
        <w:t xml:space="preserve"> (STN EN 1015-11, 2001)</w:t>
      </w:r>
    </w:p>
    <w:p w:rsidR="00417DA4" w:rsidRPr="00DB544B" w:rsidRDefault="00417DA4" w:rsidP="00DB544B">
      <w:pPr>
        <w:rPr>
          <w:lang w:val="en-US"/>
        </w:rPr>
      </w:pPr>
      <w:r w:rsidRPr="00DB544B">
        <w:t>Sorption properties were tested in view of the intended function of tested materials: protective coating of concrete structures.</w:t>
      </w:r>
    </w:p>
    <w:p w:rsidR="00417DA4" w:rsidRPr="00DB544B" w:rsidRDefault="00417DA4" w:rsidP="00DB544B">
      <w:pPr>
        <w:pStyle w:val="ListParagraph"/>
        <w:numPr>
          <w:ilvl w:val="0"/>
          <w:numId w:val="4"/>
        </w:numPr>
        <w:rPr>
          <w:lang w:val="en-US"/>
        </w:rPr>
      </w:pPr>
      <w:r w:rsidRPr="00DB544B">
        <w:rPr>
          <w:b/>
          <w:bCs/>
        </w:rPr>
        <w:t>Absorptivity and capillarity</w:t>
      </w:r>
      <w:r>
        <w:t xml:space="preserve"> (STN 73 1316, 1989) </w:t>
      </w:r>
    </w:p>
    <w:p w:rsidR="00417DA4" w:rsidRPr="00612DBB" w:rsidRDefault="00417DA4" w:rsidP="00612DBB">
      <w:pPr>
        <w:rPr>
          <w:b/>
          <w:bCs/>
          <w:lang w:val="en-US"/>
        </w:rPr>
      </w:pPr>
      <w:r w:rsidRPr="00612DBB">
        <w:rPr>
          <w:b/>
          <w:bCs/>
          <w:lang w:val="en-US"/>
        </w:rPr>
        <w:t>Absorptivity</w:t>
      </w:r>
    </w:p>
    <w:p w:rsidR="00417DA4" w:rsidRPr="00612DBB" w:rsidRDefault="00417DA4" w:rsidP="00612DBB">
      <w:pPr>
        <w:rPr>
          <w:lang w:val="en-US"/>
        </w:rPr>
      </w:pPr>
      <w:r w:rsidRPr="00612DBB">
        <w:rPr>
          <w:lang w:val="en-US"/>
        </w:rPr>
        <w:t>After drying to constant mass, whole body of sample is immersed in water. After saturation of sample to constant mass was the specimen weighted. Absorptivity was calculated by use of the formula (2):</w:t>
      </w:r>
    </w:p>
    <w:p w:rsidR="00417DA4" w:rsidRPr="00612DBB" w:rsidRDefault="00417DA4" w:rsidP="00B62834">
      <w:pPr>
        <w:jc w:val="right"/>
        <w:rPr>
          <w:lang w:val="en-US"/>
        </w:rPr>
      </w:pPr>
      <w:r w:rsidRPr="00612DBB">
        <w:rPr>
          <w:lang w:val="en-US"/>
        </w:rPr>
        <w:tab/>
        <w:t xml:space="preserve"> </w:t>
      </w:r>
      <w:r w:rsidRPr="00612DBB">
        <w:rPr>
          <w:lang w:val="en-US"/>
        </w:rPr>
        <w:tab/>
      </w:r>
      <w:r w:rsidRPr="00B62834">
        <w:rPr>
          <w:lang w:val="en-US"/>
        </w:rPr>
        <w:object w:dxaOrig="1820" w:dyaOrig="700">
          <v:shape id="_x0000_i1026" type="#_x0000_t75" style="width:90pt;height:35.25pt" o:ole="">
            <v:imagedata r:id="rId9" o:title=""/>
          </v:shape>
          <o:OLEObject Type="Embed" ProgID="Equation.3" ShapeID="_x0000_i1026" DrawAspect="Content" ObjectID="_1495361708" r:id="rId10"/>
        </w:object>
      </w:r>
      <w:r w:rsidRPr="00B62834">
        <w:rPr>
          <w:lang w:val="en-US"/>
        </w:rPr>
        <w:tab/>
      </w:r>
      <w:r w:rsidRPr="00B62834">
        <w:rPr>
          <w:lang w:val="en-US"/>
        </w:rPr>
        <w:tab/>
      </w:r>
      <w:r w:rsidRPr="00B62834">
        <w:rPr>
          <w:lang w:val="en-US"/>
        </w:rPr>
        <w:tab/>
      </w:r>
      <w:r w:rsidRPr="00B62834">
        <w:rPr>
          <w:lang w:val="en-US"/>
        </w:rPr>
        <w:tab/>
      </w:r>
      <w:r w:rsidRPr="00612DBB">
        <w:rPr>
          <w:lang w:val="en-US"/>
        </w:rPr>
        <w:t>(2)</w:t>
      </w:r>
    </w:p>
    <w:p w:rsidR="00417DA4" w:rsidRPr="00612DBB" w:rsidRDefault="00417DA4" w:rsidP="00612DBB">
      <w:pPr>
        <w:rPr>
          <w:lang w:val="en-US"/>
        </w:rPr>
      </w:pPr>
      <w:r w:rsidRPr="00612DBB">
        <w:rPr>
          <w:lang w:val="en-US"/>
        </w:rPr>
        <w:t>where:</w:t>
      </w:r>
    </w:p>
    <w:p w:rsidR="00417DA4" w:rsidRPr="00612DBB" w:rsidRDefault="00417DA4" w:rsidP="00612DBB">
      <w:pPr>
        <w:rPr>
          <w:lang w:val="en-US"/>
        </w:rPr>
      </w:pPr>
      <w:r w:rsidRPr="00612DBB">
        <w:rPr>
          <w:lang w:val="en-US"/>
        </w:rPr>
        <w:t>m</w:t>
      </w:r>
      <w:r w:rsidRPr="00612DBB">
        <w:rPr>
          <w:vertAlign w:val="subscript"/>
          <w:lang w:val="en-US"/>
        </w:rPr>
        <w:t>s</w:t>
      </w:r>
      <w:r w:rsidRPr="00612DBB">
        <w:rPr>
          <w:lang w:val="en-US"/>
        </w:rPr>
        <w:t xml:space="preserve"> – weight of saturated sample (g)</w:t>
      </w:r>
    </w:p>
    <w:p w:rsidR="00417DA4" w:rsidRPr="00612DBB" w:rsidRDefault="00417DA4" w:rsidP="00612DBB">
      <w:pPr>
        <w:rPr>
          <w:lang w:val="en-US"/>
        </w:rPr>
      </w:pPr>
      <w:r w:rsidRPr="00612DBB">
        <w:rPr>
          <w:lang w:val="en-US"/>
        </w:rPr>
        <w:t>m</w:t>
      </w:r>
      <w:r w:rsidRPr="00612DBB">
        <w:rPr>
          <w:vertAlign w:val="subscript"/>
          <w:lang w:val="en-US"/>
        </w:rPr>
        <w:t>d</w:t>
      </w:r>
      <w:r w:rsidRPr="00612DBB">
        <w:rPr>
          <w:lang w:val="en-US"/>
        </w:rPr>
        <w:t xml:space="preserve"> – weight of dry sample (g)</w:t>
      </w:r>
    </w:p>
    <w:p w:rsidR="00417DA4" w:rsidRPr="00DB544B" w:rsidRDefault="00417DA4" w:rsidP="00DB544B">
      <w:pPr>
        <w:rPr>
          <w:b/>
          <w:bCs/>
          <w:lang w:val="en-US"/>
        </w:rPr>
      </w:pPr>
      <w:r w:rsidRPr="00DB544B">
        <w:rPr>
          <w:b/>
          <w:bCs/>
        </w:rPr>
        <w:t>C</w:t>
      </w:r>
      <w:r w:rsidRPr="00DB544B">
        <w:rPr>
          <w:b/>
          <w:bCs/>
          <w:lang w:val="en-US"/>
        </w:rPr>
        <w:t xml:space="preserve">apillarity </w:t>
      </w:r>
    </w:p>
    <w:p w:rsidR="00417DA4" w:rsidRPr="00DB544B" w:rsidRDefault="00417DA4" w:rsidP="00DB544B">
      <w:pPr>
        <w:rPr>
          <w:lang w:val="en-US"/>
        </w:rPr>
      </w:pPr>
      <w:r w:rsidRPr="00DB544B">
        <w:rPr>
          <w:lang w:val="en-US"/>
        </w:rPr>
        <w:t>After drying to constant mass, one face of the specimen is immersed in 5 to 10 mm of water a specific period of time and the increase in mass was determined. Standard periods are 10 min</w:t>
      </w:r>
      <w:r>
        <w:rPr>
          <w:lang w:val="en-US"/>
        </w:rPr>
        <w:t>.</w:t>
      </w:r>
      <w:r w:rsidRPr="00DB544B">
        <w:rPr>
          <w:lang w:val="en-US"/>
        </w:rPr>
        <w:t xml:space="preserve"> and 90 min</w:t>
      </w:r>
      <w:r>
        <w:rPr>
          <w:lang w:val="en-US"/>
        </w:rPr>
        <w:t>.</w:t>
      </w:r>
      <w:r w:rsidRPr="00DB544B">
        <w:rPr>
          <w:lang w:val="en-US"/>
        </w:rPr>
        <w:t>, for this experiment were determined and measured following intervals: 5, 15, 25, 35, 45, 55, 65, 75, 85, 90 minutes. Capillarity was calculated by use of the formula (1):</w:t>
      </w:r>
    </w:p>
    <w:p w:rsidR="00417DA4" w:rsidRPr="0032761D" w:rsidRDefault="00417DA4" w:rsidP="00F7448E">
      <w:pPr>
        <w:jc w:val="right"/>
        <w:rPr>
          <w:lang w:val="en-US"/>
        </w:rPr>
      </w:pPr>
      <w:r w:rsidRPr="0032761D">
        <w:rPr>
          <w:lang w:val="en-US"/>
        </w:rPr>
        <w:tab/>
        <w:t xml:space="preserve"> </w:t>
      </w:r>
      <w:r w:rsidRPr="0032761D">
        <w:rPr>
          <w:lang w:val="en-US"/>
        </w:rPr>
        <w:tab/>
      </w:r>
      <w:r w:rsidRPr="00B62834">
        <w:rPr>
          <w:position w:val="-30"/>
          <w:lang w:val="en-US"/>
        </w:rPr>
        <w:object w:dxaOrig="1920" w:dyaOrig="700">
          <v:shape id="_x0000_i1027" type="#_x0000_t75" style="width:96pt;height:35.25pt" o:ole="">
            <v:imagedata r:id="rId11" o:title=""/>
          </v:shape>
          <o:OLEObject Type="Embed" ProgID="Equation.3" ShapeID="_x0000_i1027" DrawAspect="Content" ObjectID="_1495361709" r:id="rId12"/>
        </w:object>
      </w:r>
      <w:r>
        <w:tab/>
      </w:r>
      <w:r>
        <w:tab/>
      </w:r>
      <w:r>
        <w:tab/>
      </w:r>
      <w:r>
        <w:tab/>
      </w:r>
      <w:r>
        <w:tab/>
      </w:r>
      <w:r>
        <w:tab/>
      </w:r>
      <w:r w:rsidRPr="0032761D">
        <w:rPr>
          <w:lang w:val="en-US"/>
        </w:rPr>
        <w:t>(1)</w:t>
      </w:r>
    </w:p>
    <w:p w:rsidR="00417DA4" w:rsidRPr="00F7448E" w:rsidRDefault="00417DA4" w:rsidP="00F7448E">
      <w:pPr>
        <w:rPr>
          <w:lang w:val="en-US"/>
        </w:rPr>
      </w:pPr>
      <w:r>
        <w:rPr>
          <w:lang w:val="en-US"/>
        </w:rPr>
        <w:t>w</w:t>
      </w:r>
      <w:r w:rsidRPr="00F7448E">
        <w:rPr>
          <w:lang w:val="en-US"/>
        </w:rPr>
        <w:t>here:</w:t>
      </w:r>
    </w:p>
    <w:p w:rsidR="00417DA4" w:rsidRPr="00F7448E" w:rsidRDefault="00417DA4" w:rsidP="00F7448E">
      <w:pPr>
        <w:rPr>
          <w:lang w:val="en-US"/>
        </w:rPr>
      </w:pPr>
      <w:r w:rsidRPr="00F7448E">
        <w:rPr>
          <w:lang w:val="en-US"/>
        </w:rPr>
        <w:t>m</w:t>
      </w:r>
      <w:r w:rsidRPr="00F7448E">
        <w:rPr>
          <w:vertAlign w:val="subscript"/>
          <w:lang w:val="en-US"/>
        </w:rPr>
        <w:t>s</w:t>
      </w:r>
      <w:r w:rsidRPr="00F7448E">
        <w:rPr>
          <w:lang w:val="en-US"/>
        </w:rPr>
        <w:t>– weight of saturated sample (g)</w:t>
      </w:r>
    </w:p>
    <w:p w:rsidR="00417DA4" w:rsidRPr="00F7448E" w:rsidRDefault="00417DA4" w:rsidP="00F7448E">
      <w:pPr>
        <w:rPr>
          <w:lang w:val="en-US"/>
        </w:rPr>
      </w:pPr>
      <w:r w:rsidRPr="00F7448E">
        <w:rPr>
          <w:lang w:val="en-US"/>
        </w:rPr>
        <w:t>m</w:t>
      </w:r>
      <w:r w:rsidRPr="00F7448E">
        <w:rPr>
          <w:vertAlign w:val="subscript"/>
          <w:lang w:val="en-US"/>
        </w:rPr>
        <w:t>d</w:t>
      </w:r>
      <w:r w:rsidRPr="00F7448E">
        <w:rPr>
          <w:lang w:val="en-US"/>
        </w:rPr>
        <w:t xml:space="preserve"> – weight of dry sample (g)</w:t>
      </w:r>
    </w:p>
    <w:p w:rsidR="00417DA4" w:rsidRPr="00F7448E" w:rsidRDefault="00417DA4" w:rsidP="00F7448E">
      <w:pPr>
        <w:rPr>
          <w:lang w:val="en-US"/>
        </w:rPr>
      </w:pPr>
      <w:r w:rsidRPr="00F7448E">
        <w:rPr>
          <w:lang w:val="en-US"/>
        </w:rPr>
        <w:t>For comparison, as additional method, capillarity as a result of height to which water soak (in cm) was tested during the previous test. The results were determined as the arithmetic mean of measurements on 4 sides of the samples.</w:t>
      </w:r>
    </w:p>
    <w:p w:rsidR="00417DA4" w:rsidRDefault="00417DA4" w:rsidP="00800824">
      <w:pPr>
        <w:numPr>
          <w:ilvl w:val="0"/>
          <w:numId w:val="1"/>
        </w:numPr>
        <w:rPr>
          <w:b/>
          <w:bCs/>
          <w:sz w:val="28"/>
          <w:szCs w:val="28"/>
          <w:lang w:val="en-US"/>
        </w:rPr>
      </w:pPr>
      <w:r>
        <w:rPr>
          <w:b/>
          <w:bCs/>
          <w:sz w:val="28"/>
          <w:szCs w:val="28"/>
          <w:lang w:val="en-US"/>
        </w:rPr>
        <w:t>Results and discussion</w:t>
      </w:r>
    </w:p>
    <w:p w:rsidR="00417DA4" w:rsidRDefault="00417DA4" w:rsidP="00800824">
      <w:pPr>
        <w:rPr>
          <w:lang w:val="en-US"/>
        </w:rPr>
      </w:pPr>
      <w:r w:rsidRPr="00800824">
        <w:rPr>
          <w:lang w:val="en-US"/>
        </w:rPr>
        <w:t>The results of bulk density, water absorptivity and strengths are indicated in Table 5. The values of density are in the range of 1480 - 1760 kg/m</w:t>
      </w:r>
      <w:r w:rsidRPr="00FC0AB2">
        <w:rPr>
          <w:vertAlign w:val="superscript"/>
          <w:lang w:val="en-US"/>
        </w:rPr>
        <w:t>3</w:t>
      </w:r>
      <w:r w:rsidRPr="00800824">
        <w:rPr>
          <w:lang w:val="en-US"/>
        </w:rPr>
        <w:t xml:space="preserve">. The values of water absorption are in the range of 15.17- 20.93 %. Sample with highest value of density (T4) has the lowest value of water absorptivity. The trend of increasing water absorptivity with decrease of density is in accordance with known literature data. Values of compressive and flexural strength of investigated samples were in range 15.75 – 5.44 </w:t>
      </w:r>
      <w:r w:rsidRPr="00FC2104">
        <w:rPr>
          <w:lang w:val="en-US"/>
        </w:rPr>
        <w:t>MPa (R</w:t>
      </w:r>
      <w:r w:rsidRPr="00FC2104">
        <w:rPr>
          <w:vertAlign w:val="subscript"/>
          <w:lang w:val="en-US"/>
        </w:rPr>
        <w:t>c</w:t>
      </w:r>
      <w:r w:rsidRPr="00FC2104">
        <w:rPr>
          <w:lang w:val="en-US"/>
        </w:rPr>
        <w:t>); 1.62 – 3.93 MPa (R</w:t>
      </w:r>
      <w:r w:rsidRPr="00FC2104">
        <w:rPr>
          <w:vertAlign w:val="subscript"/>
          <w:lang w:val="en-US"/>
        </w:rPr>
        <w:t>f</w:t>
      </w:r>
      <w:r w:rsidRPr="00FC2104">
        <w:rPr>
          <w:lang w:val="en-US"/>
        </w:rPr>
        <w:t>).  Results</w:t>
      </w:r>
      <w:r w:rsidRPr="00800824">
        <w:rPr>
          <w:lang w:val="en-US"/>
        </w:rPr>
        <w:t xml:space="preserve"> of compressive strength and principally also results of flexural strength confirm the known tendency as well – values increase with increasing density.</w:t>
      </w:r>
      <w:bookmarkStart w:id="0" w:name="_GoBack"/>
      <w:bookmarkEnd w:id="0"/>
    </w:p>
    <w:p w:rsidR="00417DA4" w:rsidRDefault="00417DA4" w:rsidP="00800824">
      <w:pPr>
        <w:rPr>
          <w:lang w:val="en-US"/>
        </w:rPr>
      </w:pPr>
      <w:r w:rsidRPr="00ED3E6E">
        <w:rPr>
          <w:b/>
          <w:bCs/>
          <w:lang w:val="en-US"/>
        </w:rPr>
        <w:t xml:space="preserve">Table </w:t>
      </w:r>
      <w:r>
        <w:rPr>
          <w:b/>
          <w:bCs/>
          <w:lang w:val="en-US"/>
        </w:rPr>
        <w:t>5</w:t>
      </w:r>
      <w:r w:rsidRPr="00ED3E6E">
        <w:rPr>
          <w:b/>
          <w:bCs/>
          <w:lang w:val="en-US"/>
        </w:rPr>
        <w:t>.</w:t>
      </w:r>
      <w:r w:rsidRPr="00ED3E6E">
        <w:rPr>
          <w:lang w:val="en-US"/>
        </w:rPr>
        <w:t xml:space="preserve"> </w:t>
      </w:r>
      <w:r w:rsidRPr="00800824">
        <w:rPr>
          <w:lang w:val="en-GB"/>
        </w:rPr>
        <w:t>Density, water absorptivity, capillarity, compressive R</w:t>
      </w:r>
      <w:r w:rsidRPr="00800824">
        <w:rPr>
          <w:vertAlign w:val="subscript"/>
          <w:lang w:val="en-GB"/>
        </w:rPr>
        <w:t xml:space="preserve">c </w:t>
      </w:r>
      <w:r w:rsidRPr="00800824">
        <w:rPr>
          <w:lang w:val="en-GB"/>
        </w:rPr>
        <w:t>and flexural strength R</w:t>
      </w:r>
      <w:r w:rsidRPr="00800824">
        <w:rPr>
          <w:vertAlign w:val="subscript"/>
          <w:lang w:val="en-GB"/>
        </w:rPr>
        <w:t xml:space="preserve">f        </w:t>
      </w:r>
      <w:r w:rsidRPr="00800824">
        <w:rPr>
          <w:lang w:val="en-GB"/>
        </w:rPr>
        <w:t>(28 days)</w:t>
      </w:r>
    </w:p>
    <w:tbl>
      <w:tblPr>
        <w:tblW w:w="8740" w:type="dxa"/>
        <w:tblInd w:w="-68" w:type="dxa"/>
        <w:tblCellMar>
          <w:left w:w="70" w:type="dxa"/>
          <w:right w:w="70" w:type="dxa"/>
        </w:tblCellMar>
        <w:tblLook w:val="00A0"/>
      </w:tblPr>
      <w:tblGrid>
        <w:gridCol w:w="998"/>
        <w:gridCol w:w="1307"/>
        <w:gridCol w:w="1669"/>
        <w:gridCol w:w="1746"/>
        <w:gridCol w:w="1490"/>
        <w:gridCol w:w="1530"/>
      </w:tblGrid>
      <w:tr w:rsidR="00417DA4" w:rsidRPr="00800824">
        <w:trPr>
          <w:trHeight w:val="398"/>
        </w:trPr>
        <w:tc>
          <w:tcPr>
            <w:tcW w:w="998" w:type="dxa"/>
            <w:vMerge w:val="restart"/>
            <w:tcBorders>
              <w:top w:val="single" w:sz="12" w:space="0" w:color="auto"/>
              <w:left w:val="single" w:sz="4" w:space="0" w:color="auto"/>
              <w:bottom w:val="single" w:sz="4" w:space="0" w:color="auto"/>
              <w:right w:val="single" w:sz="4" w:space="0" w:color="auto"/>
            </w:tcBorders>
            <w:noWrap/>
            <w:vAlign w:val="bottom"/>
          </w:tcPr>
          <w:p w:rsidR="00417DA4" w:rsidRPr="00800824" w:rsidRDefault="00417DA4" w:rsidP="00800824">
            <w:pPr>
              <w:pStyle w:val="NoSpacing"/>
              <w:jc w:val="center"/>
              <w:rPr>
                <w:b/>
                <w:bCs/>
                <w:sz w:val="20"/>
                <w:szCs w:val="20"/>
                <w:lang w:val="en-US"/>
              </w:rPr>
            </w:pPr>
            <w:r w:rsidRPr="00800824">
              <w:rPr>
                <w:b/>
                <w:bCs/>
                <w:sz w:val="20"/>
                <w:szCs w:val="20"/>
                <w:lang w:val="en-US"/>
              </w:rPr>
              <w:t>Sample</w:t>
            </w:r>
          </w:p>
        </w:tc>
        <w:tc>
          <w:tcPr>
            <w:tcW w:w="1307" w:type="dxa"/>
            <w:vMerge w:val="restart"/>
            <w:tcBorders>
              <w:top w:val="single" w:sz="12" w:space="0" w:color="auto"/>
              <w:left w:val="single" w:sz="4" w:space="0" w:color="auto"/>
              <w:bottom w:val="single" w:sz="4" w:space="0" w:color="auto"/>
              <w:right w:val="single" w:sz="4" w:space="0" w:color="auto"/>
            </w:tcBorders>
            <w:vAlign w:val="bottom"/>
          </w:tcPr>
          <w:p w:rsidR="00417DA4" w:rsidRPr="00800824" w:rsidRDefault="00417DA4" w:rsidP="00800824">
            <w:pPr>
              <w:pStyle w:val="NoSpacing"/>
              <w:jc w:val="center"/>
              <w:rPr>
                <w:b/>
                <w:bCs/>
                <w:sz w:val="20"/>
                <w:szCs w:val="20"/>
                <w:lang w:val="en-US"/>
              </w:rPr>
            </w:pPr>
            <w:r w:rsidRPr="00800824">
              <w:rPr>
                <w:b/>
                <w:bCs/>
                <w:sz w:val="20"/>
                <w:szCs w:val="20"/>
                <w:lang w:val="en-US"/>
              </w:rPr>
              <w:t>Bulk density [kg/m</w:t>
            </w:r>
            <w:r w:rsidRPr="00AE5A59">
              <w:rPr>
                <w:b/>
                <w:bCs/>
                <w:sz w:val="20"/>
                <w:szCs w:val="20"/>
                <w:vertAlign w:val="superscript"/>
                <w:lang w:val="en-US"/>
              </w:rPr>
              <w:t>3</w:t>
            </w:r>
            <w:r w:rsidRPr="00800824">
              <w:rPr>
                <w:b/>
                <w:bCs/>
                <w:sz w:val="20"/>
                <w:szCs w:val="20"/>
                <w:lang w:val="en-US"/>
              </w:rPr>
              <w:t>]</w:t>
            </w:r>
          </w:p>
        </w:tc>
        <w:tc>
          <w:tcPr>
            <w:tcW w:w="1669" w:type="dxa"/>
            <w:vMerge w:val="restart"/>
            <w:tcBorders>
              <w:top w:val="single" w:sz="12" w:space="0" w:color="auto"/>
              <w:left w:val="single" w:sz="4" w:space="0" w:color="auto"/>
              <w:bottom w:val="single" w:sz="4" w:space="0" w:color="auto"/>
              <w:right w:val="single" w:sz="4" w:space="0" w:color="auto"/>
            </w:tcBorders>
            <w:vAlign w:val="bottom"/>
          </w:tcPr>
          <w:p w:rsidR="00417DA4" w:rsidRPr="00800824" w:rsidRDefault="00417DA4" w:rsidP="00800824">
            <w:pPr>
              <w:pStyle w:val="NoSpacing"/>
              <w:jc w:val="center"/>
              <w:rPr>
                <w:b/>
                <w:bCs/>
                <w:sz w:val="20"/>
                <w:szCs w:val="20"/>
                <w:lang w:val="en-US"/>
              </w:rPr>
            </w:pPr>
            <w:r w:rsidRPr="00800824">
              <w:rPr>
                <w:b/>
                <w:bCs/>
                <w:sz w:val="20"/>
                <w:szCs w:val="20"/>
                <w:lang w:val="en-US"/>
              </w:rPr>
              <w:t>Water absorptivity [%]</w:t>
            </w:r>
          </w:p>
        </w:tc>
        <w:tc>
          <w:tcPr>
            <w:tcW w:w="1746" w:type="dxa"/>
            <w:vMerge w:val="restart"/>
            <w:tcBorders>
              <w:top w:val="single" w:sz="12" w:space="0" w:color="auto"/>
              <w:left w:val="single" w:sz="4" w:space="0" w:color="auto"/>
              <w:bottom w:val="single" w:sz="4" w:space="0" w:color="auto"/>
              <w:right w:val="single" w:sz="4" w:space="0" w:color="auto"/>
            </w:tcBorders>
            <w:vAlign w:val="bottom"/>
          </w:tcPr>
          <w:p w:rsidR="00417DA4" w:rsidRPr="00800824" w:rsidRDefault="00417DA4" w:rsidP="00800824">
            <w:pPr>
              <w:pStyle w:val="NoSpacing"/>
              <w:jc w:val="center"/>
              <w:rPr>
                <w:b/>
                <w:bCs/>
                <w:sz w:val="20"/>
                <w:szCs w:val="20"/>
                <w:lang w:val="en-US"/>
              </w:rPr>
            </w:pPr>
            <w:r w:rsidRPr="00800824">
              <w:rPr>
                <w:b/>
                <w:bCs/>
                <w:sz w:val="20"/>
                <w:szCs w:val="20"/>
                <w:lang w:val="en-US"/>
              </w:rPr>
              <w:t>Capillarity [%]      after 90  minutes</w:t>
            </w:r>
          </w:p>
        </w:tc>
        <w:tc>
          <w:tcPr>
            <w:tcW w:w="3020" w:type="dxa"/>
            <w:gridSpan w:val="2"/>
            <w:tcBorders>
              <w:top w:val="single" w:sz="12" w:space="0" w:color="auto"/>
              <w:left w:val="nil"/>
              <w:bottom w:val="single" w:sz="4" w:space="0" w:color="auto"/>
              <w:right w:val="single" w:sz="4" w:space="0" w:color="auto"/>
            </w:tcBorders>
            <w:noWrap/>
            <w:vAlign w:val="bottom"/>
          </w:tcPr>
          <w:p w:rsidR="00417DA4" w:rsidRPr="00800824" w:rsidRDefault="00417DA4" w:rsidP="00800824">
            <w:pPr>
              <w:pStyle w:val="NoSpacing"/>
              <w:jc w:val="center"/>
              <w:rPr>
                <w:b/>
                <w:bCs/>
                <w:sz w:val="20"/>
                <w:szCs w:val="20"/>
                <w:lang w:val="en-US"/>
              </w:rPr>
            </w:pPr>
            <w:r w:rsidRPr="00800824">
              <w:rPr>
                <w:b/>
                <w:bCs/>
                <w:sz w:val="20"/>
                <w:szCs w:val="20"/>
                <w:lang w:val="en-US"/>
              </w:rPr>
              <w:t>Strength</w:t>
            </w:r>
          </w:p>
        </w:tc>
      </w:tr>
      <w:tr w:rsidR="00417DA4" w:rsidRPr="00800824">
        <w:trPr>
          <w:trHeight w:val="398"/>
        </w:trPr>
        <w:tc>
          <w:tcPr>
            <w:tcW w:w="998" w:type="dxa"/>
            <w:vMerge/>
            <w:tcBorders>
              <w:top w:val="single" w:sz="4" w:space="0" w:color="auto"/>
              <w:left w:val="single" w:sz="4" w:space="0" w:color="auto"/>
              <w:bottom w:val="single" w:sz="12" w:space="0" w:color="auto"/>
              <w:right w:val="single" w:sz="4" w:space="0" w:color="auto"/>
            </w:tcBorders>
            <w:vAlign w:val="center"/>
          </w:tcPr>
          <w:p w:rsidR="00417DA4" w:rsidRPr="00800824" w:rsidRDefault="00417DA4" w:rsidP="00800824">
            <w:pPr>
              <w:pStyle w:val="NoSpacing"/>
              <w:jc w:val="center"/>
              <w:rPr>
                <w:b/>
                <w:bCs/>
                <w:sz w:val="20"/>
                <w:szCs w:val="20"/>
                <w:lang w:val="en-US"/>
              </w:rPr>
            </w:pPr>
          </w:p>
        </w:tc>
        <w:tc>
          <w:tcPr>
            <w:tcW w:w="1307" w:type="dxa"/>
            <w:vMerge/>
            <w:tcBorders>
              <w:top w:val="single" w:sz="4" w:space="0" w:color="auto"/>
              <w:left w:val="single" w:sz="4" w:space="0" w:color="auto"/>
              <w:bottom w:val="single" w:sz="12" w:space="0" w:color="auto"/>
              <w:right w:val="single" w:sz="4" w:space="0" w:color="auto"/>
            </w:tcBorders>
            <w:vAlign w:val="center"/>
          </w:tcPr>
          <w:p w:rsidR="00417DA4" w:rsidRPr="00800824" w:rsidRDefault="00417DA4" w:rsidP="00800824">
            <w:pPr>
              <w:pStyle w:val="NoSpacing"/>
              <w:jc w:val="center"/>
              <w:rPr>
                <w:b/>
                <w:bCs/>
                <w:sz w:val="20"/>
                <w:szCs w:val="20"/>
                <w:lang w:val="en-US"/>
              </w:rPr>
            </w:pPr>
          </w:p>
        </w:tc>
        <w:tc>
          <w:tcPr>
            <w:tcW w:w="1669" w:type="dxa"/>
            <w:vMerge/>
            <w:tcBorders>
              <w:top w:val="single" w:sz="4" w:space="0" w:color="auto"/>
              <w:left w:val="single" w:sz="4" w:space="0" w:color="auto"/>
              <w:bottom w:val="single" w:sz="12" w:space="0" w:color="auto"/>
              <w:right w:val="single" w:sz="4" w:space="0" w:color="auto"/>
            </w:tcBorders>
            <w:vAlign w:val="center"/>
          </w:tcPr>
          <w:p w:rsidR="00417DA4" w:rsidRPr="00800824" w:rsidRDefault="00417DA4" w:rsidP="00800824">
            <w:pPr>
              <w:pStyle w:val="NoSpacing"/>
              <w:jc w:val="center"/>
              <w:rPr>
                <w:b/>
                <w:bCs/>
                <w:sz w:val="20"/>
                <w:szCs w:val="20"/>
                <w:lang w:val="en-US"/>
              </w:rPr>
            </w:pPr>
          </w:p>
        </w:tc>
        <w:tc>
          <w:tcPr>
            <w:tcW w:w="1746" w:type="dxa"/>
            <w:vMerge/>
            <w:tcBorders>
              <w:top w:val="single" w:sz="4" w:space="0" w:color="auto"/>
              <w:left w:val="single" w:sz="4" w:space="0" w:color="auto"/>
              <w:bottom w:val="single" w:sz="12" w:space="0" w:color="auto"/>
              <w:right w:val="single" w:sz="4" w:space="0" w:color="auto"/>
            </w:tcBorders>
            <w:vAlign w:val="center"/>
          </w:tcPr>
          <w:p w:rsidR="00417DA4" w:rsidRPr="00800824" w:rsidRDefault="00417DA4" w:rsidP="00800824">
            <w:pPr>
              <w:pStyle w:val="NoSpacing"/>
              <w:jc w:val="center"/>
              <w:rPr>
                <w:b/>
                <w:bCs/>
                <w:sz w:val="20"/>
                <w:szCs w:val="20"/>
                <w:lang w:val="en-US"/>
              </w:rPr>
            </w:pPr>
          </w:p>
        </w:tc>
        <w:tc>
          <w:tcPr>
            <w:tcW w:w="1490" w:type="dxa"/>
            <w:tcBorders>
              <w:top w:val="nil"/>
              <w:left w:val="nil"/>
              <w:bottom w:val="single" w:sz="12" w:space="0" w:color="auto"/>
              <w:right w:val="single" w:sz="4" w:space="0" w:color="auto"/>
            </w:tcBorders>
            <w:noWrap/>
            <w:vAlign w:val="bottom"/>
          </w:tcPr>
          <w:p w:rsidR="00417DA4" w:rsidRPr="00800824" w:rsidRDefault="00417DA4" w:rsidP="00800824">
            <w:pPr>
              <w:pStyle w:val="NoSpacing"/>
              <w:jc w:val="center"/>
              <w:rPr>
                <w:b/>
                <w:bCs/>
                <w:sz w:val="20"/>
                <w:szCs w:val="20"/>
                <w:lang w:val="en-US"/>
              </w:rPr>
            </w:pPr>
            <w:r w:rsidRPr="00800824">
              <w:rPr>
                <w:b/>
                <w:bCs/>
                <w:sz w:val="20"/>
                <w:szCs w:val="20"/>
                <w:lang w:val="en-US"/>
              </w:rPr>
              <w:t>R</w:t>
            </w:r>
            <w:r w:rsidRPr="00CA3255">
              <w:rPr>
                <w:b/>
                <w:bCs/>
                <w:sz w:val="20"/>
                <w:szCs w:val="20"/>
                <w:vertAlign w:val="subscript"/>
                <w:lang w:val="en-US"/>
              </w:rPr>
              <w:t>f</w:t>
            </w:r>
            <w:r w:rsidRPr="00800824">
              <w:rPr>
                <w:b/>
                <w:bCs/>
                <w:sz w:val="20"/>
                <w:szCs w:val="20"/>
                <w:lang w:val="en-US"/>
              </w:rPr>
              <w:t xml:space="preserve"> [MPa]</w:t>
            </w:r>
          </w:p>
        </w:tc>
        <w:tc>
          <w:tcPr>
            <w:tcW w:w="1530" w:type="dxa"/>
            <w:tcBorders>
              <w:top w:val="nil"/>
              <w:left w:val="nil"/>
              <w:bottom w:val="single" w:sz="12" w:space="0" w:color="auto"/>
              <w:right w:val="single" w:sz="4" w:space="0" w:color="auto"/>
            </w:tcBorders>
            <w:noWrap/>
            <w:vAlign w:val="bottom"/>
          </w:tcPr>
          <w:p w:rsidR="00417DA4" w:rsidRPr="00800824" w:rsidRDefault="00417DA4" w:rsidP="00800824">
            <w:pPr>
              <w:pStyle w:val="NoSpacing"/>
              <w:jc w:val="center"/>
              <w:rPr>
                <w:b/>
                <w:bCs/>
                <w:sz w:val="20"/>
                <w:szCs w:val="20"/>
                <w:lang w:val="en-US"/>
              </w:rPr>
            </w:pPr>
            <w:r w:rsidRPr="00800824">
              <w:rPr>
                <w:b/>
                <w:bCs/>
                <w:sz w:val="20"/>
                <w:szCs w:val="20"/>
                <w:lang w:val="en-US"/>
              </w:rPr>
              <w:t>R</w:t>
            </w:r>
            <w:r w:rsidRPr="00CA3255">
              <w:rPr>
                <w:b/>
                <w:bCs/>
                <w:sz w:val="20"/>
                <w:szCs w:val="20"/>
                <w:vertAlign w:val="subscript"/>
                <w:lang w:val="en-US"/>
              </w:rPr>
              <w:t>c</w:t>
            </w:r>
            <w:r w:rsidRPr="00800824">
              <w:rPr>
                <w:b/>
                <w:bCs/>
                <w:sz w:val="20"/>
                <w:szCs w:val="20"/>
                <w:lang w:val="en-US"/>
              </w:rPr>
              <w:t xml:space="preserve"> [MPa]</w:t>
            </w:r>
          </w:p>
        </w:tc>
      </w:tr>
      <w:tr w:rsidR="00417DA4" w:rsidRPr="00800824">
        <w:trPr>
          <w:trHeight w:val="300"/>
        </w:trPr>
        <w:tc>
          <w:tcPr>
            <w:tcW w:w="998" w:type="dxa"/>
            <w:tcBorders>
              <w:top w:val="single" w:sz="12" w:space="0" w:color="auto"/>
              <w:left w:val="nil"/>
              <w:bottom w:val="nil"/>
              <w:right w:val="nil"/>
            </w:tcBorders>
            <w:noWrap/>
            <w:vAlign w:val="bottom"/>
          </w:tcPr>
          <w:p w:rsidR="00417DA4" w:rsidRPr="00800824" w:rsidRDefault="00417DA4" w:rsidP="00800824">
            <w:pPr>
              <w:pStyle w:val="NoSpacing"/>
              <w:jc w:val="center"/>
              <w:rPr>
                <w:b/>
                <w:bCs/>
                <w:sz w:val="20"/>
                <w:szCs w:val="20"/>
                <w:lang w:val="en-US"/>
              </w:rPr>
            </w:pPr>
            <w:r w:rsidRPr="00800824">
              <w:rPr>
                <w:b/>
                <w:bCs/>
                <w:sz w:val="20"/>
                <w:szCs w:val="20"/>
                <w:lang w:val="en-US"/>
              </w:rPr>
              <w:t>T1</w:t>
            </w:r>
          </w:p>
        </w:tc>
        <w:tc>
          <w:tcPr>
            <w:tcW w:w="1307" w:type="dxa"/>
            <w:tcBorders>
              <w:top w:val="single" w:sz="12" w:space="0" w:color="auto"/>
              <w:left w:val="nil"/>
              <w:bottom w:val="nil"/>
              <w:right w:val="nil"/>
            </w:tcBorders>
            <w:noWrap/>
            <w:vAlign w:val="bottom"/>
          </w:tcPr>
          <w:p w:rsidR="00417DA4" w:rsidRPr="00691A81" w:rsidRDefault="00417DA4" w:rsidP="00800824">
            <w:pPr>
              <w:pStyle w:val="NoSpacing"/>
              <w:jc w:val="center"/>
              <w:rPr>
                <w:sz w:val="20"/>
                <w:szCs w:val="20"/>
                <w:lang w:val="en-US"/>
              </w:rPr>
            </w:pPr>
            <w:r w:rsidRPr="00691A81">
              <w:rPr>
                <w:sz w:val="20"/>
                <w:szCs w:val="20"/>
                <w:lang w:val="en-US"/>
              </w:rPr>
              <w:t>1744</w:t>
            </w:r>
          </w:p>
        </w:tc>
        <w:tc>
          <w:tcPr>
            <w:tcW w:w="1669" w:type="dxa"/>
            <w:tcBorders>
              <w:top w:val="single" w:sz="12" w:space="0" w:color="auto"/>
              <w:left w:val="nil"/>
              <w:bottom w:val="nil"/>
              <w:right w:val="nil"/>
            </w:tcBorders>
            <w:vAlign w:val="bottom"/>
          </w:tcPr>
          <w:p w:rsidR="00417DA4" w:rsidRPr="00691A81" w:rsidRDefault="00417DA4" w:rsidP="00800824">
            <w:pPr>
              <w:pStyle w:val="NoSpacing"/>
              <w:jc w:val="center"/>
              <w:rPr>
                <w:sz w:val="20"/>
                <w:szCs w:val="20"/>
                <w:lang w:val="en-US"/>
              </w:rPr>
            </w:pPr>
            <w:r w:rsidRPr="00691A81">
              <w:rPr>
                <w:sz w:val="20"/>
                <w:szCs w:val="20"/>
                <w:lang w:val="en-US"/>
              </w:rPr>
              <w:t>15.25</w:t>
            </w:r>
          </w:p>
        </w:tc>
        <w:tc>
          <w:tcPr>
            <w:tcW w:w="1746" w:type="dxa"/>
            <w:tcBorders>
              <w:top w:val="single" w:sz="12" w:space="0" w:color="auto"/>
              <w:left w:val="nil"/>
              <w:bottom w:val="nil"/>
              <w:right w:val="nil"/>
            </w:tcBorders>
            <w:vAlign w:val="bottom"/>
          </w:tcPr>
          <w:p w:rsidR="00417DA4" w:rsidRPr="00691A81" w:rsidRDefault="00417DA4" w:rsidP="00800824">
            <w:pPr>
              <w:pStyle w:val="NoSpacing"/>
              <w:jc w:val="center"/>
              <w:rPr>
                <w:sz w:val="20"/>
                <w:szCs w:val="20"/>
                <w:lang w:val="en-US"/>
              </w:rPr>
            </w:pPr>
            <w:r w:rsidRPr="00691A81">
              <w:rPr>
                <w:sz w:val="20"/>
                <w:szCs w:val="20"/>
                <w:lang w:val="en-US"/>
              </w:rPr>
              <w:t>4.45</w:t>
            </w:r>
          </w:p>
        </w:tc>
        <w:tc>
          <w:tcPr>
            <w:tcW w:w="1490" w:type="dxa"/>
            <w:tcBorders>
              <w:top w:val="single" w:sz="12" w:space="0" w:color="auto"/>
              <w:left w:val="nil"/>
              <w:bottom w:val="nil"/>
              <w:right w:val="nil"/>
            </w:tcBorders>
            <w:noWrap/>
            <w:vAlign w:val="bottom"/>
          </w:tcPr>
          <w:p w:rsidR="00417DA4" w:rsidRPr="00691A81" w:rsidRDefault="00417DA4" w:rsidP="00800824">
            <w:pPr>
              <w:pStyle w:val="NoSpacing"/>
              <w:jc w:val="center"/>
              <w:rPr>
                <w:sz w:val="20"/>
                <w:szCs w:val="20"/>
                <w:lang w:val="en-US"/>
              </w:rPr>
            </w:pPr>
            <w:r w:rsidRPr="00691A81">
              <w:rPr>
                <w:sz w:val="20"/>
                <w:szCs w:val="20"/>
                <w:lang w:val="en-US"/>
              </w:rPr>
              <w:t>2.19</w:t>
            </w:r>
          </w:p>
        </w:tc>
        <w:tc>
          <w:tcPr>
            <w:tcW w:w="1530" w:type="dxa"/>
            <w:tcBorders>
              <w:top w:val="single" w:sz="12" w:space="0" w:color="auto"/>
              <w:left w:val="nil"/>
              <w:bottom w:val="nil"/>
              <w:right w:val="nil"/>
            </w:tcBorders>
            <w:noWrap/>
            <w:vAlign w:val="bottom"/>
          </w:tcPr>
          <w:p w:rsidR="00417DA4" w:rsidRPr="00691A81" w:rsidRDefault="00417DA4" w:rsidP="00800824">
            <w:pPr>
              <w:pStyle w:val="NoSpacing"/>
              <w:jc w:val="center"/>
              <w:rPr>
                <w:sz w:val="20"/>
                <w:szCs w:val="20"/>
                <w:lang w:val="en-US"/>
              </w:rPr>
            </w:pPr>
            <w:r w:rsidRPr="00691A81">
              <w:rPr>
                <w:sz w:val="20"/>
                <w:szCs w:val="20"/>
                <w:lang w:val="en-US"/>
              </w:rPr>
              <w:t>11.64</w:t>
            </w:r>
          </w:p>
        </w:tc>
      </w:tr>
      <w:tr w:rsidR="00417DA4" w:rsidRPr="00800824">
        <w:trPr>
          <w:trHeight w:val="300"/>
        </w:trPr>
        <w:tc>
          <w:tcPr>
            <w:tcW w:w="998" w:type="dxa"/>
            <w:tcBorders>
              <w:top w:val="nil"/>
              <w:left w:val="nil"/>
              <w:bottom w:val="nil"/>
              <w:right w:val="nil"/>
            </w:tcBorders>
            <w:noWrap/>
            <w:vAlign w:val="bottom"/>
          </w:tcPr>
          <w:p w:rsidR="00417DA4" w:rsidRPr="00800824" w:rsidRDefault="00417DA4" w:rsidP="00800824">
            <w:pPr>
              <w:pStyle w:val="NoSpacing"/>
              <w:jc w:val="center"/>
              <w:rPr>
                <w:b/>
                <w:bCs/>
                <w:sz w:val="20"/>
                <w:szCs w:val="20"/>
                <w:lang w:val="en-US"/>
              </w:rPr>
            </w:pPr>
            <w:r w:rsidRPr="00800824">
              <w:rPr>
                <w:b/>
                <w:bCs/>
                <w:sz w:val="20"/>
                <w:szCs w:val="20"/>
                <w:lang w:val="en-US"/>
              </w:rPr>
              <w:t>T2</w:t>
            </w:r>
          </w:p>
        </w:tc>
        <w:tc>
          <w:tcPr>
            <w:tcW w:w="1307" w:type="dxa"/>
            <w:tcBorders>
              <w:top w:val="nil"/>
              <w:left w:val="nil"/>
              <w:bottom w:val="nil"/>
              <w:right w:val="nil"/>
            </w:tcBorders>
            <w:noWrap/>
            <w:vAlign w:val="bottom"/>
          </w:tcPr>
          <w:p w:rsidR="00417DA4" w:rsidRPr="00691A81" w:rsidRDefault="00417DA4" w:rsidP="00800824">
            <w:pPr>
              <w:pStyle w:val="NoSpacing"/>
              <w:jc w:val="center"/>
              <w:rPr>
                <w:sz w:val="20"/>
                <w:szCs w:val="20"/>
                <w:lang w:val="en-US"/>
              </w:rPr>
            </w:pPr>
            <w:r w:rsidRPr="00691A81">
              <w:rPr>
                <w:sz w:val="20"/>
                <w:szCs w:val="20"/>
                <w:lang w:val="en-US"/>
              </w:rPr>
              <w:t>1515</w:t>
            </w:r>
          </w:p>
        </w:tc>
        <w:tc>
          <w:tcPr>
            <w:tcW w:w="1669" w:type="dxa"/>
            <w:tcBorders>
              <w:top w:val="nil"/>
              <w:left w:val="nil"/>
              <w:bottom w:val="nil"/>
              <w:right w:val="nil"/>
            </w:tcBorders>
            <w:vAlign w:val="bottom"/>
          </w:tcPr>
          <w:p w:rsidR="00417DA4" w:rsidRPr="00691A81" w:rsidRDefault="00417DA4" w:rsidP="00800824">
            <w:pPr>
              <w:pStyle w:val="NoSpacing"/>
              <w:jc w:val="center"/>
              <w:rPr>
                <w:sz w:val="20"/>
                <w:szCs w:val="20"/>
                <w:lang w:val="en-US"/>
              </w:rPr>
            </w:pPr>
            <w:r w:rsidRPr="00691A81">
              <w:rPr>
                <w:sz w:val="20"/>
                <w:szCs w:val="20"/>
                <w:lang w:val="en-US"/>
              </w:rPr>
              <w:t>18.11</w:t>
            </w:r>
          </w:p>
        </w:tc>
        <w:tc>
          <w:tcPr>
            <w:tcW w:w="1746" w:type="dxa"/>
            <w:tcBorders>
              <w:top w:val="nil"/>
              <w:left w:val="nil"/>
              <w:bottom w:val="nil"/>
              <w:right w:val="nil"/>
            </w:tcBorders>
            <w:vAlign w:val="bottom"/>
          </w:tcPr>
          <w:p w:rsidR="00417DA4" w:rsidRPr="00691A81" w:rsidRDefault="00417DA4" w:rsidP="00800824">
            <w:pPr>
              <w:pStyle w:val="NoSpacing"/>
              <w:jc w:val="center"/>
              <w:rPr>
                <w:sz w:val="20"/>
                <w:szCs w:val="20"/>
                <w:lang w:val="en-US"/>
              </w:rPr>
            </w:pPr>
            <w:r w:rsidRPr="00691A81">
              <w:rPr>
                <w:sz w:val="20"/>
                <w:szCs w:val="20"/>
                <w:lang w:val="en-US"/>
              </w:rPr>
              <w:t>5.25</w:t>
            </w:r>
          </w:p>
        </w:tc>
        <w:tc>
          <w:tcPr>
            <w:tcW w:w="1490" w:type="dxa"/>
            <w:tcBorders>
              <w:top w:val="nil"/>
              <w:left w:val="nil"/>
              <w:bottom w:val="nil"/>
              <w:right w:val="nil"/>
            </w:tcBorders>
            <w:noWrap/>
            <w:vAlign w:val="bottom"/>
          </w:tcPr>
          <w:p w:rsidR="00417DA4" w:rsidRPr="00691A81" w:rsidRDefault="00417DA4" w:rsidP="00800824">
            <w:pPr>
              <w:pStyle w:val="NoSpacing"/>
              <w:jc w:val="center"/>
              <w:rPr>
                <w:sz w:val="20"/>
                <w:szCs w:val="20"/>
                <w:lang w:val="en-US"/>
              </w:rPr>
            </w:pPr>
            <w:r w:rsidRPr="00691A81">
              <w:rPr>
                <w:sz w:val="20"/>
                <w:szCs w:val="20"/>
                <w:lang w:val="en-US"/>
              </w:rPr>
              <w:t>1.62</w:t>
            </w:r>
          </w:p>
        </w:tc>
        <w:tc>
          <w:tcPr>
            <w:tcW w:w="1530" w:type="dxa"/>
            <w:tcBorders>
              <w:top w:val="nil"/>
              <w:left w:val="nil"/>
              <w:bottom w:val="nil"/>
              <w:right w:val="nil"/>
            </w:tcBorders>
            <w:noWrap/>
            <w:vAlign w:val="bottom"/>
          </w:tcPr>
          <w:p w:rsidR="00417DA4" w:rsidRPr="00691A81" w:rsidRDefault="00417DA4" w:rsidP="00800824">
            <w:pPr>
              <w:pStyle w:val="NoSpacing"/>
              <w:jc w:val="center"/>
              <w:rPr>
                <w:sz w:val="20"/>
                <w:szCs w:val="20"/>
                <w:lang w:val="en-US"/>
              </w:rPr>
            </w:pPr>
            <w:r w:rsidRPr="00691A81">
              <w:rPr>
                <w:sz w:val="20"/>
                <w:szCs w:val="20"/>
                <w:lang w:val="en-US"/>
              </w:rPr>
              <w:t>5.72</w:t>
            </w:r>
          </w:p>
        </w:tc>
      </w:tr>
      <w:tr w:rsidR="00417DA4" w:rsidRPr="00800824">
        <w:trPr>
          <w:trHeight w:val="300"/>
        </w:trPr>
        <w:tc>
          <w:tcPr>
            <w:tcW w:w="998" w:type="dxa"/>
            <w:tcBorders>
              <w:top w:val="nil"/>
              <w:left w:val="nil"/>
              <w:bottom w:val="nil"/>
              <w:right w:val="nil"/>
            </w:tcBorders>
            <w:noWrap/>
            <w:vAlign w:val="bottom"/>
          </w:tcPr>
          <w:p w:rsidR="00417DA4" w:rsidRPr="00800824" w:rsidRDefault="00417DA4" w:rsidP="00800824">
            <w:pPr>
              <w:pStyle w:val="NoSpacing"/>
              <w:jc w:val="center"/>
              <w:rPr>
                <w:b/>
                <w:bCs/>
                <w:sz w:val="20"/>
                <w:szCs w:val="20"/>
                <w:lang w:val="en-US"/>
              </w:rPr>
            </w:pPr>
            <w:r w:rsidRPr="00800824">
              <w:rPr>
                <w:b/>
                <w:bCs/>
                <w:sz w:val="20"/>
                <w:szCs w:val="20"/>
                <w:lang w:val="en-US"/>
              </w:rPr>
              <w:t>T3</w:t>
            </w:r>
          </w:p>
        </w:tc>
        <w:tc>
          <w:tcPr>
            <w:tcW w:w="1307" w:type="dxa"/>
            <w:tcBorders>
              <w:top w:val="nil"/>
              <w:left w:val="nil"/>
              <w:bottom w:val="nil"/>
              <w:right w:val="nil"/>
            </w:tcBorders>
            <w:noWrap/>
            <w:vAlign w:val="bottom"/>
          </w:tcPr>
          <w:p w:rsidR="00417DA4" w:rsidRPr="00691A81" w:rsidRDefault="00417DA4" w:rsidP="00800824">
            <w:pPr>
              <w:pStyle w:val="NoSpacing"/>
              <w:jc w:val="center"/>
              <w:rPr>
                <w:sz w:val="20"/>
                <w:szCs w:val="20"/>
                <w:lang w:val="en-US"/>
              </w:rPr>
            </w:pPr>
            <w:r w:rsidRPr="00691A81">
              <w:rPr>
                <w:sz w:val="20"/>
                <w:szCs w:val="20"/>
                <w:lang w:val="en-US"/>
              </w:rPr>
              <w:t>1477</w:t>
            </w:r>
          </w:p>
        </w:tc>
        <w:tc>
          <w:tcPr>
            <w:tcW w:w="1669" w:type="dxa"/>
            <w:tcBorders>
              <w:top w:val="nil"/>
              <w:left w:val="nil"/>
              <w:bottom w:val="nil"/>
              <w:right w:val="nil"/>
            </w:tcBorders>
            <w:vAlign w:val="bottom"/>
          </w:tcPr>
          <w:p w:rsidR="00417DA4" w:rsidRPr="00691A81" w:rsidRDefault="00417DA4" w:rsidP="00800824">
            <w:pPr>
              <w:pStyle w:val="NoSpacing"/>
              <w:jc w:val="center"/>
              <w:rPr>
                <w:sz w:val="20"/>
                <w:szCs w:val="20"/>
                <w:lang w:val="en-US"/>
              </w:rPr>
            </w:pPr>
            <w:r w:rsidRPr="00691A81">
              <w:rPr>
                <w:sz w:val="20"/>
                <w:szCs w:val="20"/>
                <w:lang w:val="en-US"/>
              </w:rPr>
              <w:t>20.93</w:t>
            </w:r>
          </w:p>
        </w:tc>
        <w:tc>
          <w:tcPr>
            <w:tcW w:w="1746" w:type="dxa"/>
            <w:tcBorders>
              <w:top w:val="nil"/>
              <w:left w:val="nil"/>
              <w:bottom w:val="nil"/>
              <w:right w:val="nil"/>
            </w:tcBorders>
            <w:vAlign w:val="bottom"/>
          </w:tcPr>
          <w:p w:rsidR="00417DA4" w:rsidRPr="00691A81" w:rsidRDefault="00417DA4" w:rsidP="00800824">
            <w:pPr>
              <w:pStyle w:val="NoSpacing"/>
              <w:jc w:val="center"/>
              <w:rPr>
                <w:sz w:val="20"/>
                <w:szCs w:val="20"/>
                <w:lang w:val="en-US"/>
              </w:rPr>
            </w:pPr>
            <w:r w:rsidRPr="00691A81">
              <w:rPr>
                <w:sz w:val="20"/>
                <w:szCs w:val="20"/>
                <w:lang w:val="en-US"/>
              </w:rPr>
              <w:t>6.45</w:t>
            </w:r>
          </w:p>
        </w:tc>
        <w:tc>
          <w:tcPr>
            <w:tcW w:w="1490" w:type="dxa"/>
            <w:tcBorders>
              <w:top w:val="nil"/>
              <w:left w:val="nil"/>
              <w:bottom w:val="nil"/>
              <w:right w:val="nil"/>
            </w:tcBorders>
            <w:noWrap/>
            <w:vAlign w:val="bottom"/>
          </w:tcPr>
          <w:p w:rsidR="00417DA4" w:rsidRPr="00691A81" w:rsidRDefault="00417DA4" w:rsidP="00800824">
            <w:pPr>
              <w:pStyle w:val="NoSpacing"/>
              <w:jc w:val="center"/>
              <w:rPr>
                <w:sz w:val="20"/>
                <w:szCs w:val="20"/>
                <w:lang w:val="en-US"/>
              </w:rPr>
            </w:pPr>
            <w:r w:rsidRPr="00691A81">
              <w:rPr>
                <w:sz w:val="20"/>
                <w:szCs w:val="20"/>
                <w:lang w:val="en-US"/>
              </w:rPr>
              <w:t>2.45</w:t>
            </w:r>
          </w:p>
        </w:tc>
        <w:tc>
          <w:tcPr>
            <w:tcW w:w="1530" w:type="dxa"/>
            <w:tcBorders>
              <w:top w:val="nil"/>
              <w:left w:val="nil"/>
              <w:bottom w:val="nil"/>
              <w:right w:val="nil"/>
            </w:tcBorders>
            <w:noWrap/>
            <w:vAlign w:val="bottom"/>
          </w:tcPr>
          <w:p w:rsidR="00417DA4" w:rsidRPr="00691A81" w:rsidRDefault="00417DA4" w:rsidP="00800824">
            <w:pPr>
              <w:pStyle w:val="NoSpacing"/>
              <w:jc w:val="center"/>
              <w:rPr>
                <w:sz w:val="20"/>
                <w:szCs w:val="20"/>
                <w:lang w:val="en-US"/>
              </w:rPr>
            </w:pPr>
            <w:r w:rsidRPr="00691A81">
              <w:rPr>
                <w:sz w:val="20"/>
                <w:szCs w:val="20"/>
                <w:lang w:val="en-US"/>
              </w:rPr>
              <w:t>5.44</w:t>
            </w:r>
          </w:p>
        </w:tc>
      </w:tr>
      <w:tr w:rsidR="00417DA4" w:rsidRPr="00800824">
        <w:trPr>
          <w:trHeight w:val="300"/>
        </w:trPr>
        <w:tc>
          <w:tcPr>
            <w:tcW w:w="998" w:type="dxa"/>
            <w:tcBorders>
              <w:top w:val="nil"/>
              <w:left w:val="nil"/>
              <w:bottom w:val="nil"/>
              <w:right w:val="nil"/>
            </w:tcBorders>
            <w:noWrap/>
            <w:vAlign w:val="bottom"/>
          </w:tcPr>
          <w:p w:rsidR="00417DA4" w:rsidRPr="00800824" w:rsidRDefault="00417DA4" w:rsidP="00800824">
            <w:pPr>
              <w:pStyle w:val="NoSpacing"/>
              <w:jc w:val="center"/>
              <w:rPr>
                <w:b/>
                <w:bCs/>
                <w:sz w:val="20"/>
                <w:szCs w:val="20"/>
                <w:lang w:val="en-US"/>
              </w:rPr>
            </w:pPr>
            <w:r w:rsidRPr="00800824">
              <w:rPr>
                <w:b/>
                <w:bCs/>
                <w:sz w:val="20"/>
                <w:szCs w:val="20"/>
                <w:lang w:val="en-US"/>
              </w:rPr>
              <w:t>T4</w:t>
            </w:r>
          </w:p>
        </w:tc>
        <w:tc>
          <w:tcPr>
            <w:tcW w:w="1307" w:type="dxa"/>
            <w:tcBorders>
              <w:top w:val="nil"/>
              <w:left w:val="nil"/>
              <w:bottom w:val="nil"/>
              <w:right w:val="nil"/>
            </w:tcBorders>
            <w:noWrap/>
            <w:vAlign w:val="bottom"/>
          </w:tcPr>
          <w:p w:rsidR="00417DA4" w:rsidRPr="00691A81" w:rsidRDefault="00417DA4" w:rsidP="00800824">
            <w:pPr>
              <w:pStyle w:val="NoSpacing"/>
              <w:jc w:val="center"/>
              <w:rPr>
                <w:sz w:val="20"/>
                <w:szCs w:val="20"/>
                <w:lang w:val="en-US"/>
              </w:rPr>
            </w:pPr>
            <w:r w:rsidRPr="00691A81">
              <w:rPr>
                <w:sz w:val="20"/>
                <w:szCs w:val="20"/>
                <w:lang w:val="en-US"/>
              </w:rPr>
              <w:t>1761</w:t>
            </w:r>
          </w:p>
        </w:tc>
        <w:tc>
          <w:tcPr>
            <w:tcW w:w="1669" w:type="dxa"/>
            <w:tcBorders>
              <w:top w:val="nil"/>
              <w:left w:val="nil"/>
              <w:bottom w:val="nil"/>
              <w:right w:val="nil"/>
            </w:tcBorders>
            <w:vAlign w:val="bottom"/>
          </w:tcPr>
          <w:p w:rsidR="00417DA4" w:rsidRPr="00691A81" w:rsidRDefault="00417DA4" w:rsidP="00800824">
            <w:pPr>
              <w:pStyle w:val="NoSpacing"/>
              <w:jc w:val="center"/>
              <w:rPr>
                <w:sz w:val="20"/>
                <w:szCs w:val="20"/>
                <w:lang w:val="en-US"/>
              </w:rPr>
            </w:pPr>
            <w:r w:rsidRPr="00691A81">
              <w:rPr>
                <w:sz w:val="20"/>
                <w:szCs w:val="20"/>
                <w:lang w:val="en-US"/>
              </w:rPr>
              <w:t>15.17</w:t>
            </w:r>
          </w:p>
        </w:tc>
        <w:tc>
          <w:tcPr>
            <w:tcW w:w="1746" w:type="dxa"/>
            <w:tcBorders>
              <w:top w:val="nil"/>
              <w:left w:val="nil"/>
              <w:bottom w:val="nil"/>
              <w:right w:val="nil"/>
            </w:tcBorders>
            <w:vAlign w:val="bottom"/>
          </w:tcPr>
          <w:p w:rsidR="00417DA4" w:rsidRPr="00691A81" w:rsidRDefault="00417DA4" w:rsidP="00800824">
            <w:pPr>
              <w:pStyle w:val="NoSpacing"/>
              <w:jc w:val="center"/>
              <w:rPr>
                <w:sz w:val="20"/>
                <w:szCs w:val="20"/>
                <w:lang w:val="en-US"/>
              </w:rPr>
            </w:pPr>
            <w:r w:rsidRPr="00691A81">
              <w:rPr>
                <w:sz w:val="20"/>
                <w:szCs w:val="20"/>
                <w:lang w:val="en-US"/>
              </w:rPr>
              <w:t>4.08</w:t>
            </w:r>
          </w:p>
        </w:tc>
        <w:tc>
          <w:tcPr>
            <w:tcW w:w="1490" w:type="dxa"/>
            <w:tcBorders>
              <w:top w:val="nil"/>
              <w:left w:val="nil"/>
              <w:bottom w:val="nil"/>
              <w:right w:val="nil"/>
            </w:tcBorders>
            <w:noWrap/>
            <w:vAlign w:val="bottom"/>
          </w:tcPr>
          <w:p w:rsidR="00417DA4" w:rsidRPr="00691A81" w:rsidRDefault="00417DA4" w:rsidP="00800824">
            <w:pPr>
              <w:pStyle w:val="NoSpacing"/>
              <w:jc w:val="center"/>
              <w:rPr>
                <w:sz w:val="20"/>
                <w:szCs w:val="20"/>
                <w:lang w:val="en-US"/>
              </w:rPr>
            </w:pPr>
            <w:r w:rsidRPr="00691A81">
              <w:rPr>
                <w:sz w:val="20"/>
                <w:szCs w:val="20"/>
                <w:lang w:val="en-US"/>
              </w:rPr>
              <w:t>3.93</w:t>
            </w:r>
          </w:p>
        </w:tc>
        <w:tc>
          <w:tcPr>
            <w:tcW w:w="1530" w:type="dxa"/>
            <w:tcBorders>
              <w:top w:val="nil"/>
              <w:left w:val="nil"/>
              <w:bottom w:val="nil"/>
              <w:right w:val="nil"/>
            </w:tcBorders>
            <w:noWrap/>
            <w:vAlign w:val="bottom"/>
          </w:tcPr>
          <w:p w:rsidR="00417DA4" w:rsidRPr="00691A81" w:rsidRDefault="00417DA4" w:rsidP="00800824">
            <w:pPr>
              <w:pStyle w:val="NoSpacing"/>
              <w:jc w:val="center"/>
              <w:rPr>
                <w:sz w:val="20"/>
                <w:szCs w:val="20"/>
                <w:lang w:val="en-US"/>
              </w:rPr>
            </w:pPr>
            <w:r w:rsidRPr="00691A81">
              <w:rPr>
                <w:sz w:val="20"/>
                <w:szCs w:val="20"/>
                <w:lang w:val="en-US"/>
              </w:rPr>
              <w:t>15.75</w:t>
            </w:r>
          </w:p>
        </w:tc>
      </w:tr>
      <w:tr w:rsidR="00417DA4" w:rsidRPr="00800824">
        <w:trPr>
          <w:trHeight w:val="315"/>
        </w:trPr>
        <w:tc>
          <w:tcPr>
            <w:tcW w:w="998" w:type="dxa"/>
            <w:tcBorders>
              <w:top w:val="nil"/>
              <w:left w:val="nil"/>
              <w:bottom w:val="single" w:sz="12" w:space="0" w:color="auto"/>
              <w:right w:val="nil"/>
            </w:tcBorders>
            <w:noWrap/>
            <w:vAlign w:val="bottom"/>
          </w:tcPr>
          <w:p w:rsidR="00417DA4" w:rsidRPr="00800824" w:rsidRDefault="00417DA4" w:rsidP="00800824">
            <w:pPr>
              <w:pStyle w:val="NoSpacing"/>
              <w:jc w:val="center"/>
              <w:rPr>
                <w:b/>
                <w:bCs/>
                <w:sz w:val="20"/>
                <w:szCs w:val="20"/>
                <w:lang w:val="en-US"/>
              </w:rPr>
            </w:pPr>
            <w:r w:rsidRPr="00800824">
              <w:rPr>
                <w:b/>
                <w:bCs/>
                <w:sz w:val="20"/>
                <w:szCs w:val="20"/>
                <w:lang w:val="en-US"/>
              </w:rPr>
              <w:t>T5</w:t>
            </w:r>
          </w:p>
        </w:tc>
        <w:tc>
          <w:tcPr>
            <w:tcW w:w="1307" w:type="dxa"/>
            <w:tcBorders>
              <w:top w:val="nil"/>
              <w:left w:val="nil"/>
              <w:bottom w:val="single" w:sz="12" w:space="0" w:color="auto"/>
              <w:right w:val="nil"/>
            </w:tcBorders>
            <w:noWrap/>
            <w:vAlign w:val="bottom"/>
          </w:tcPr>
          <w:p w:rsidR="00417DA4" w:rsidRPr="00691A81" w:rsidRDefault="00417DA4" w:rsidP="00800824">
            <w:pPr>
              <w:pStyle w:val="NoSpacing"/>
              <w:jc w:val="center"/>
              <w:rPr>
                <w:sz w:val="20"/>
                <w:szCs w:val="20"/>
                <w:lang w:val="en-US"/>
              </w:rPr>
            </w:pPr>
            <w:r w:rsidRPr="00691A81">
              <w:rPr>
                <w:sz w:val="20"/>
                <w:szCs w:val="20"/>
                <w:lang w:val="en-US"/>
              </w:rPr>
              <w:t>1639</w:t>
            </w:r>
          </w:p>
        </w:tc>
        <w:tc>
          <w:tcPr>
            <w:tcW w:w="1669" w:type="dxa"/>
            <w:tcBorders>
              <w:top w:val="nil"/>
              <w:left w:val="nil"/>
              <w:bottom w:val="single" w:sz="12" w:space="0" w:color="auto"/>
              <w:right w:val="nil"/>
            </w:tcBorders>
            <w:vAlign w:val="bottom"/>
          </w:tcPr>
          <w:p w:rsidR="00417DA4" w:rsidRPr="00691A81" w:rsidRDefault="00417DA4" w:rsidP="00800824">
            <w:pPr>
              <w:pStyle w:val="NoSpacing"/>
              <w:jc w:val="center"/>
              <w:rPr>
                <w:sz w:val="20"/>
                <w:szCs w:val="20"/>
                <w:lang w:val="en-US"/>
              </w:rPr>
            </w:pPr>
            <w:r w:rsidRPr="00691A81">
              <w:rPr>
                <w:sz w:val="20"/>
                <w:szCs w:val="20"/>
                <w:lang w:val="en-US"/>
              </w:rPr>
              <w:t>19.75</w:t>
            </w:r>
          </w:p>
        </w:tc>
        <w:tc>
          <w:tcPr>
            <w:tcW w:w="1746" w:type="dxa"/>
            <w:tcBorders>
              <w:top w:val="nil"/>
              <w:left w:val="nil"/>
              <w:bottom w:val="single" w:sz="12" w:space="0" w:color="auto"/>
              <w:right w:val="nil"/>
            </w:tcBorders>
            <w:vAlign w:val="bottom"/>
          </w:tcPr>
          <w:p w:rsidR="00417DA4" w:rsidRPr="00691A81" w:rsidRDefault="00417DA4" w:rsidP="00800824">
            <w:pPr>
              <w:pStyle w:val="NoSpacing"/>
              <w:jc w:val="center"/>
              <w:rPr>
                <w:sz w:val="20"/>
                <w:szCs w:val="20"/>
                <w:lang w:val="en-US"/>
              </w:rPr>
            </w:pPr>
            <w:r w:rsidRPr="00691A81">
              <w:rPr>
                <w:sz w:val="20"/>
                <w:szCs w:val="20"/>
                <w:lang w:val="en-US"/>
              </w:rPr>
              <w:t>4.30</w:t>
            </w:r>
          </w:p>
        </w:tc>
        <w:tc>
          <w:tcPr>
            <w:tcW w:w="1490" w:type="dxa"/>
            <w:tcBorders>
              <w:top w:val="nil"/>
              <w:left w:val="nil"/>
              <w:bottom w:val="single" w:sz="12" w:space="0" w:color="auto"/>
              <w:right w:val="nil"/>
            </w:tcBorders>
            <w:noWrap/>
            <w:vAlign w:val="bottom"/>
          </w:tcPr>
          <w:p w:rsidR="00417DA4" w:rsidRPr="00691A81" w:rsidRDefault="00417DA4" w:rsidP="00800824">
            <w:pPr>
              <w:pStyle w:val="NoSpacing"/>
              <w:jc w:val="center"/>
              <w:rPr>
                <w:sz w:val="20"/>
                <w:szCs w:val="20"/>
                <w:lang w:val="en-US"/>
              </w:rPr>
            </w:pPr>
            <w:r w:rsidRPr="00691A81">
              <w:rPr>
                <w:sz w:val="20"/>
                <w:szCs w:val="20"/>
                <w:lang w:val="en-US"/>
              </w:rPr>
              <w:t>2.71</w:t>
            </w:r>
          </w:p>
        </w:tc>
        <w:tc>
          <w:tcPr>
            <w:tcW w:w="1530" w:type="dxa"/>
            <w:tcBorders>
              <w:top w:val="nil"/>
              <w:left w:val="nil"/>
              <w:bottom w:val="single" w:sz="12" w:space="0" w:color="auto"/>
              <w:right w:val="nil"/>
            </w:tcBorders>
            <w:noWrap/>
            <w:vAlign w:val="bottom"/>
          </w:tcPr>
          <w:p w:rsidR="00417DA4" w:rsidRPr="00691A81" w:rsidRDefault="00417DA4" w:rsidP="00800824">
            <w:pPr>
              <w:pStyle w:val="NoSpacing"/>
              <w:jc w:val="center"/>
              <w:rPr>
                <w:sz w:val="20"/>
                <w:szCs w:val="20"/>
                <w:lang w:val="en-US"/>
              </w:rPr>
            </w:pPr>
            <w:r w:rsidRPr="00691A81">
              <w:rPr>
                <w:sz w:val="20"/>
                <w:szCs w:val="20"/>
                <w:lang w:val="en-US"/>
              </w:rPr>
              <w:t>11.36</w:t>
            </w:r>
          </w:p>
        </w:tc>
      </w:tr>
    </w:tbl>
    <w:p w:rsidR="00417DA4" w:rsidRDefault="00417DA4" w:rsidP="00800824">
      <w:pPr>
        <w:rPr>
          <w:lang w:val="en-US"/>
        </w:rPr>
      </w:pPr>
    </w:p>
    <w:p w:rsidR="00417DA4" w:rsidRPr="00800824" w:rsidRDefault="00417DA4" w:rsidP="00800824">
      <w:pPr>
        <w:rPr>
          <w:lang w:val="en-US"/>
        </w:rPr>
      </w:pPr>
      <w:r w:rsidRPr="00800824">
        <w:rPr>
          <w:lang w:val="en-US"/>
        </w:rPr>
        <w:t>In assessing properties of the samples T1 – T4, the following findings are resulting:</w:t>
      </w:r>
    </w:p>
    <w:p w:rsidR="00417DA4" w:rsidRPr="00800824" w:rsidRDefault="00417DA4" w:rsidP="00800824">
      <w:pPr>
        <w:pStyle w:val="ListParagraph"/>
        <w:numPr>
          <w:ilvl w:val="0"/>
          <w:numId w:val="4"/>
        </w:numPr>
        <w:rPr>
          <w:lang w:val="en-US"/>
        </w:rPr>
      </w:pPr>
      <w:r w:rsidRPr="00800824">
        <w:rPr>
          <w:lang w:val="en-US"/>
        </w:rPr>
        <w:t xml:space="preserve">Values of compressive strength and density of the samples based on fly ash are increasing from sample T3 after sample T1 (in terms of using share of ground samples of fly ash in mixture), while water absorption and capillarity decreases. </w:t>
      </w:r>
    </w:p>
    <w:p w:rsidR="00417DA4" w:rsidRPr="00800824" w:rsidRDefault="00417DA4" w:rsidP="00800824">
      <w:pPr>
        <w:pStyle w:val="ListParagraph"/>
        <w:numPr>
          <w:ilvl w:val="0"/>
          <w:numId w:val="4"/>
        </w:numPr>
        <w:rPr>
          <w:lang w:val="en-US"/>
        </w:rPr>
      </w:pPr>
      <w:r w:rsidRPr="00800824">
        <w:rPr>
          <w:lang w:val="en-US"/>
        </w:rPr>
        <w:t>The sample T4 (substituting 30% of ground fly ash by sludge) comparing to sample T1, shows in fact the similar value of bulk density, as well as values of the water absorption and capillarity. Sludge in the mixture T4 caused a slight increase in compressive strength of about 3 MPa; the sludge had positive effect on increasing of compressive strength value.</w:t>
      </w:r>
    </w:p>
    <w:p w:rsidR="00417DA4" w:rsidRPr="005B3A3B" w:rsidRDefault="00417DA4" w:rsidP="00800824">
      <w:pPr>
        <w:rPr>
          <w:color w:val="000000"/>
        </w:rPr>
      </w:pPr>
      <w:r w:rsidRPr="005B3A3B">
        <w:rPr>
          <w:color w:val="000000"/>
        </w:rPr>
        <w:t>In assessing the samples T1 - T4 with a reference sample T5, the following findings are resulting:</w:t>
      </w:r>
    </w:p>
    <w:p w:rsidR="00417DA4" w:rsidRPr="00800824" w:rsidRDefault="00417DA4" w:rsidP="00800824">
      <w:pPr>
        <w:pStyle w:val="ListParagraph"/>
        <w:numPr>
          <w:ilvl w:val="0"/>
          <w:numId w:val="4"/>
        </w:numPr>
        <w:rPr>
          <w:lang w:val="en-US"/>
        </w:rPr>
      </w:pPr>
      <w:r w:rsidRPr="00800824">
        <w:rPr>
          <w:lang w:val="en-US"/>
        </w:rPr>
        <w:t>In terms of strength: sample T1 achieved approximately the same strength value (11-12</w:t>
      </w:r>
      <w:r>
        <w:rPr>
          <w:lang w:val="en-US"/>
        </w:rPr>
        <w:t xml:space="preserve"> </w:t>
      </w:r>
      <w:r w:rsidRPr="00800824">
        <w:rPr>
          <w:lang w:val="en-US"/>
        </w:rPr>
        <w:t>MPa). The presence of sludge in the recipe T4 caused an increase of compressive strength about 25%. T1 and T2 were reached only the half value of compressive strength compared to T5.</w:t>
      </w:r>
    </w:p>
    <w:p w:rsidR="00417DA4" w:rsidRPr="00800824" w:rsidRDefault="00417DA4" w:rsidP="00800824">
      <w:pPr>
        <w:pStyle w:val="ListParagraph"/>
        <w:numPr>
          <w:ilvl w:val="0"/>
          <w:numId w:val="4"/>
        </w:numPr>
        <w:rPr>
          <w:lang w:val="en-US"/>
        </w:rPr>
      </w:pPr>
      <w:r w:rsidRPr="00800824">
        <w:rPr>
          <w:lang w:val="en-US"/>
        </w:rPr>
        <w:t>In terms of absorptivity: the value of water absorptivity of the sample T4 was the lowest of all investigated samples (15%).  The reference sample T5 had approximately the same value of absorptivity as sample T3 (20%).</w:t>
      </w:r>
    </w:p>
    <w:p w:rsidR="00417DA4" w:rsidRPr="00800824" w:rsidRDefault="00417DA4" w:rsidP="00800824">
      <w:pPr>
        <w:pStyle w:val="ListParagraph"/>
        <w:numPr>
          <w:ilvl w:val="0"/>
          <w:numId w:val="4"/>
        </w:numPr>
        <w:rPr>
          <w:lang w:val="en-US"/>
        </w:rPr>
      </w:pPr>
      <w:r w:rsidRPr="00800824">
        <w:rPr>
          <w:lang w:val="en-US"/>
        </w:rPr>
        <w:t>In terms of capillarity: capillarity of T5 is approximately on the same level as T1 (4.3%).</w:t>
      </w:r>
    </w:p>
    <w:p w:rsidR="00417DA4" w:rsidRDefault="00417DA4" w:rsidP="00800824">
      <w:pPr>
        <w:rPr>
          <w:lang w:val="en-US"/>
        </w:rPr>
      </w:pPr>
      <w:r w:rsidRPr="00800824">
        <w:rPr>
          <w:lang w:val="en-US"/>
        </w:rPr>
        <w:t>Results of capillarity expressed by height of saturation are given in Fig</w:t>
      </w:r>
      <w:r>
        <w:rPr>
          <w:lang w:val="en-US"/>
        </w:rPr>
        <w:t>ure</w:t>
      </w:r>
      <w:r w:rsidRPr="00800824">
        <w:rPr>
          <w:lang w:val="en-US"/>
        </w:rPr>
        <w:t xml:space="preserve"> 1.</w:t>
      </w:r>
    </w:p>
    <w:p w:rsidR="00417DA4" w:rsidRDefault="00417DA4" w:rsidP="00C341C6">
      <w:pPr>
        <w:jc w:val="center"/>
        <w:rPr>
          <w:lang w:val="en-US"/>
        </w:rPr>
      </w:pPr>
      <w:r w:rsidRPr="003C6AAB">
        <w:rPr>
          <w:noProof/>
          <w:color w:val="000000"/>
          <w:lang w:val="sk-SK" w:eastAsia="sk-SK"/>
        </w:rPr>
        <w:pict>
          <v:shape id="Graf 3" o:spid="_x0000_i1028" type="#_x0000_t75" style="width:343.5pt;height:188.25pt;visibility:visible">
            <v:imagedata r:id="rId13" o:title=""/>
          </v:shape>
        </w:pict>
      </w:r>
    </w:p>
    <w:p w:rsidR="00417DA4" w:rsidRDefault="00417DA4" w:rsidP="00C341C6">
      <w:pPr>
        <w:jc w:val="center"/>
        <w:rPr>
          <w:lang w:val="en-US"/>
        </w:rPr>
      </w:pPr>
      <w:r>
        <w:rPr>
          <w:b/>
          <w:bCs/>
          <w:lang w:val="en-US"/>
        </w:rPr>
        <w:t xml:space="preserve">Figure 1. </w:t>
      </w:r>
      <w:r w:rsidRPr="00C341C6">
        <w:rPr>
          <w:lang w:val="en-US"/>
        </w:rPr>
        <w:t xml:space="preserve">Results of capillarity expressed by </w:t>
      </w:r>
      <w:r w:rsidRPr="00C341C6">
        <w:rPr>
          <w:lang w:val="sk-SK"/>
        </w:rPr>
        <w:t xml:space="preserve">height of saturation </w:t>
      </w:r>
      <w:r>
        <w:rPr>
          <w:lang w:val="sk-SK"/>
        </w:rPr>
        <w:t>in cm</w:t>
      </w:r>
      <w:r w:rsidRPr="00C341C6">
        <w:rPr>
          <w:lang w:val="sk-SK"/>
        </w:rPr>
        <w:t xml:space="preserve"> </w:t>
      </w:r>
      <w:r w:rsidRPr="00C341C6">
        <w:rPr>
          <w:lang w:val="en-US"/>
        </w:rPr>
        <w:t>(28 days)</w:t>
      </w:r>
    </w:p>
    <w:p w:rsidR="00417DA4" w:rsidRPr="00C341C6" w:rsidRDefault="00417DA4" w:rsidP="00C341C6">
      <w:pPr>
        <w:rPr>
          <w:lang w:val="en-US"/>
        </w:rPr>
      </w:pPr>
      <w:r w:rsidRPr="00C341C6">
        <w:rPr>
          <w:lang w:val="en-US"/>
        </w:rPr>
        <w:t>As can be seen in Figure 1, the lines of values of capillarity are divided into three sections. The first section contains the value of capillarity for the samples T1 and T3, in the middle part it is T2 and in the last part was resulting values for T4 and T5. It is caused by used components in recipe with various percentage ratios. Specimens T1 and T3 had similar composition – the main component was fly ash (100% fly ash in mixture). T4 and T5 had the main components sludge and fly ash. Sample T2 had similar trend as a curves for T1 and T3 but in lower values. T2 had the main component fly ash (ground and unground; 50/50 %).</w:t>
      </w:r>
    </w:p>
    <w:p w:rsidR="00417DA4" w:rsidRPr="00C341C6" w:rsidRDefault="00417DA4" w:rsidP="00C341C6">
      <w:pPr>
        <w:rPr>
          <w:lang w:val="en-US"/>
        </w:rPr>
      </w:pPr>
      <w:r w:rsidRPr="00C341C6">
        <w:rPr>
          <w:lang w:val="en-US"/>
        </w:rPr>
        <w:t>The capillary action (in cm) on the surface of investigated samples was high by T1 and T3 (Fig. 1), but in assessing according the percentage of the weight of capillarity after 90 minutes were observed the maximum value by the sample T2 and T3 (samples which containing original fly ash in mixture).</w:t>
      </w:r>
    </w:p>
    <w:p w:rsidR="00417DA4" w:rsidRDefault="00417DA4" w:rsidP="00800824">
      <w:pPr>
        <w:rPr>
          <w:lang w:val="en-US"/>
        </w:rPr>
      </w:pPr>
      <w:r w:rsidRPr="00C341C6">
        <w:rPr>
          <w:lang w:val="en-US"/>
        </w:rPr>
        <w:t>The samples T4 and T5 had slowly and steady progress of absorption, ac</w:t>
      </w:r>
      <w:r>
        <w:rPr>
          <w:lang w:val="en-US"/>
        </w:rPr>
        <w:t>cording to Figure</w:t>
      </w:r>
      <w:r w:rsidRPr="00C341C6">
        <w:rPr>
          <w:lang w:val="en-US"/>
        </w:rPr>
        <w:t>1. In terms of capillarity (in percent by weight, Tab. 5) T1, T4 and T5 had lower value (4%) of capillarity than T2, T3 (5-6%).</w:t>
      </w:r>
    </w:p>
    <w:p w:rsidR="00417DA4" w:rsidRDefault="00417DA4" w:rsidP="00C341C6">
      <w:pPr>
        <w:numPr>
          <w:ilvl w:val="0"/>
          <w:numId w:val="1"/>
        </w:numPr>
        <w:rPr>
          <w:b/>
          <w:bCs/>
          <w:sz w:val="28"/>
          <w:szCs w:val="28"/>
          <w:lang w:val="en-US"/>
        </w:rPr>
      </w:pPr>
      <w:r>
        <w:rPr>
          <w:b/>
          <w:bCs/>
          <w:sz w:val="28"/>
          <w:szCs w:val="28"/>
          <w:lang w:val="en-US"/>
        </w:rPr>
        <w:t>Conclusion</w:t>
      </w:r>
    </w:p>
    <w:p w:rsidR="00417DA4" w:rsidRPr="00C341C6" w:rsidRDefault="00417DA4" w:rsidP="00C341C6">
      <w:pPr>
        <w:rPr>
          <w:lang w:val="en-US"/>
        </w:rPr>
      </w:pPr>
      <w:r w:rsidRPr="00C341C6">
        <w:rPr>
          <w:lang w:val="en-US"/>
        </w:rPr>
        <w:t>The results indicate the effect of ground fly ash for production of geopolymer mixtures. The properties of geopolymers were measured at 28 days after hardening. The durability properties such as water absorption and capillarity showed a decreasing trend with the increase of fly ash fineness. Hence, it is concluded that increasing the fineness of fly ash increases its reactivity, and, hence, grinding is an effective way to enhance the performance of fly ash. When the volume of ground fly ash is increasing, it will fill the voids, increasing the density and hence preventing water absorption. The samples with a higher density by utilization of ground fly ash for geopolymer mixtures caused increases of resulting compressive and flexural strength.</w:t>
      </w:r>
    </w:p>
    <w:p w:rsidR="00417DA4" w:rsidRDefault="00417DA4" w:rsidP="000D09A1">
      <w:pPr>
        <w:rPr>
          <w:lang w:val="en-US"/>
        </w:rPr>
      </w:pPr>
      <w:r w:rsidRPr="00C341C6">
        <w:rPr>
          <w:lang w:val="en-US"/>
        </w:rPr>
        <w:t xml:space="preserve">The treatment of raw materials may enhance some of geopolymers parameters, while deteriorating others. Not only are the final parameters of geopolymer, but also the technological, e.g. consistency, </w:t>
      </w:r>
      <w:r w:rsidRPr="002E45D5">
        <w:rPr>
          <w:lang w:val="en-US"/>
        </w:rPr>
        <w:t>compatibility, setting</w:t>
      </w:r>
      <w:r w:rsidRPr="00C341C6">
        <w:rPr>
          <w:lang w:val="en-US"/>
        </w:rPr>
        <w:t xml:space="preserve"> time etc. affected. Therefore any way of treatment and optimization of entry raw materials is a result of looking for limiting values and interactions, followed by establishing priorities and applying compromises.</w:t>
      </w:r>
      <w:r>
        <w:rPr>
          <w:lang w:val="en-US"/>
        </w:rPr>
        <w:t xml:space="preserve"> </w:t>
      </w:r>
    </w:p>
    <w:p w:rsidR="00417DA4" w:rsidRDefault="00417DA4" w:rsidP="000D09A1">
      <w:pPr>
        <w:rPr>
          <w:b/>
          <w:bCs/>
        </w:rPr>
      </w:pPr>
      <w:r w:rsidRPr="00214BAB">
        <w:rPr>
          <w:b/>
          <w:bCs/>
        </w:rPr>
        <w:t>Practical implications</w:t>
      </w:r>
    </w:p>
    <w:p w:rsidR="00417DA4" w:rsidRPr="000F7150" w:rsidRDefault="00417DA4" w:rsidP="000D09A1">
      <w:pPr>
        <w:rPr>
          <w:rStyle w:val="hps"/>
          <w:rFonts w:cs="Arial"/>
          <w:lang/>
        </w:rPr>
      </w:pPr>
      <w:r>
        <w:rPr>
          <w:rStyle w:val="hps"/>
          <w:rFonts w:cs="Arial"/>
          <w:lang/>
        </w:rPr>
        <w:t>The obtained results</w:t>
      </w:r>
      <w:r>
        <w:rPr>
          <w:lang/>
        </w:rPr>
        <w:t xml:space="preserve"> </w:t>
      </w:r>
      <w:r>
        <w:rPr>
          <w:rStyle w:val="hps"/>
          <w:rFonts w:cs="Arial"/>
          <w:lang/>
        </w:rPr>
        <w:t>of</w:t>
      </w:r>
      <w:r>
        <w:rPr>
          <w:lang/>
        </w:rPr>
        <w:t xml:space="preserve"> </w:t>
      </w:r>
      <w:r>
        <w:rPr>
          <w:rStyle w:val="hps"/>
          <w:rFonts w:cs="Arial"/>
          <w:lang/>
        </w:rPr>
        <w:t>slected</w:t>
      </w:r>
      <w:r>
        <w:rPr>
          <w:lang/>
        </w:rPr>
        <w:t xml:space="preserve"> </w:t>
      </w:r>
      <w:r>
        <w:rPr>
          <w:rStyle w:val="hps"/>
          <w:rFonts w:cs="Arial"/>
          <w:lang/>
        </w:rPr>
        <w:t>properties</w:t>
      </w:r>
      <w:r>
        <w:rPr>
          <w:lang/>
        </w:rPr>
        <w:t xml:space="preserve"> </w:t>
      </w:r>
      <w:r>
        <w:rPr>
          <w:rStyle w:val="hps"/>
          <w:rFonts w:cs="Arial"/>
          <w:lang/>
        </w:rPr>
        <w:t>of</w:t>
      </w:r>
      <w:r>
        <w:rPr>
          <w:lang/>
        </w:rPr>
        <w:t xml:space="preserve"> </w:t>
      </w:r>
      <w:r>
        <w:rPr>
          <w:rStyle w:val="hps"/>
          <w:rFonts w:cs="Arial"/>
          <w:lang/>
        </w:rPr>
        <w:t>geopolymers</w:t>
      </w:r>
      <w:r>
        <w:rPr>
          <w:lang/>
        </w:rPr>
        <w:t xml:space="preserve"> </w:t>
      </w:r>
      <w:r>
        <w:rPr>
          <w:rStyle w:val="hps"/>
          <w:rFonts w:cs="Arial"/>
          <w:lang/>
        </w:rPr>
        <w:t>with different</w:t>
      </w:r>
      <w:r>
        <w:rPr>
          <w:lang/>
        </w:rPr>
        <w:t xml:space="preserve"> </w:t>
      </w:r>
      <w:r>
        <w:rPr>
          <w:rStyle w:val="hps"/>
          <w:rFonts w:cs="Arial"/>
          <w:lang/>
        </w:rPr>
        <w:t>portions</w:t>
      </w:r>
      <w:r>
        <w:rPr>
          <w:lang/>
        </w:rPr>
        <w:t xml:space="preserve"> </w:t>
      </w:r>
      <w:r>
        <w:rPr>
          <w:rStyle w:val="hps"/>
          <w:rFonts w:cs="Arial"/>
          <w:lang/>
        </w:rPr>
        <w:t>of</w:t>
      </w:r>
      <w:r>
        <w:rPr>
          <w:lang/>
        </w:rPr>
        <w:t xml:space="preserve"> </w:t>
      </w:r>
      <w:r>
        <w:rPr>
          <w:rStyle w:val="hps"/>
          <w:rFonts w:cs="Arial"/>
          <w:lang/>
        </w:rPr>
        <w:t>ground</w:t>
      </w:r>
      <w:r>
        <w:rPr>
          <w:lang/>
        </w:rPr>
        <w:t xml:space="preserve"> </w:t>
      </w:r>
      <w:r>
        <w:rPr>
          <w:rStyle w:val="hpsatn"/>
          <w:rFonts w:cs="Arial"/>
          <w:lang/>
        </w:rPr>
        <w:t>fly-</w:t>
      </w:r>
      <w:r>
        <w:rPr>
          <w:lang/>
        </w:rPr>
        <w:t xml:space="preserve">ash show that the portion </w:t>
      </w:r>
      <w:r>
        <w:rPr>
          <w:rStyle w:val="hps"/>
          <w:rFonts w:cs="Arial"/>
          <w:lang/>
        </w:rPr>
        <w:t>of the original</w:t>
      </w:r>
      <w:r>
        <w:rPr>
          <w:lang/>
        </w:rPr>
        <w:t xml:space="preserve"> and </w:t>
      </w:r>
      <w:r>
        <w:rPr>
          <w:rStyle w:val="hps"/>
          <w:rFonts w:cs="Arial"/>
          <w:lang/>
        </w:rPr>
        <w:t>ground</w:t>
      </w:r>
      <w:r>
        <w:rPr>
          <w:lang/>
        </w:rPr>
        <w:t xml:space="preserve"> </w:t>
      </w:r>
      <w:r>
        <w:rPr>
          <w:rStyle w:val="hps"/>
          <w:rFonts w:cs="Arial"/>
          <w:lang/>
        </w:rPr>
        <w:t>fly ash</w:t>
      </w:r>
      <w:r>
        <w:rPr>
          <w:lang/>
        </w:rPr>
        <w:t xml:space="preserve"> </w:t>
      </w:r>
      <w:r>
        <w:rPr>
          <w:rStyle w:val="hps"/>
          <w:rFonts w:cs="Arial"/>
          <w:lang/>
        </w:rPr>
        <w:t>influences</w:t>
      </w:r>
      <w:r>
        <w:rPr>
          <w:lang/>
        </w:rPr>
        <w:t xml:space="preserve"> </w:t>
      </w:r>
      <w:r>
        <w:rPr>
          <w:rStyle w:val="hps"/>
          <w:rFonts w:cs="Arial"/>
          <w:lang/>
        </w:rPr>
        <w:t>the final properties</w:t>
      </w:r>
      <w:r>
        <w:rPr>
          <w:lang/>
        </w:rPr>
        <w:t xml:space="preserve"> </w:t>
      </w:r>
      <w:r>
        <w:rPr>
          <w:rStyle w:val="hps"/>
          <w:rFonts w:cs="Arial"/>
          <w:lang/>
        </w:rPr>
        <w:t>of geopolymer</w:t>
      </w:r>
      <w:r>
        <w:rPr>
          <w:lang/>
        </w:rPr>
        <w:t xml:space="preserve">. </w:t>
      </w:r>
      <w:r w:rsidRPr="001A1815">
        <w:rPr>
          <w:rStyle w:val="hps"/>
          <w:rFonts w:cs="Arial"/>
          <w:lang/>
        </w:rPr>
        <w:t>The best results were identified in the recipe of T4 (70% of ground fly ash, 30% sludge). Fly ashes and other mechanically modified of secondary raw materials (slag, sludge, waste glass, ceramic waste etc. ...) improve the possibilities of using of secondary raw materials and for reuse in new building materials. In the aim of the research is orientation on the use of mechanically modified fly ash used as a microfiller in mixtures, to serve as a protective coating (plaster).</w:t>
      </w:r>
    </w:p>
    <w:p w:rsidR="00417DA4" w:rsidRPr="00FA4B56" w:rsidRDefault="00417DA4" w:rsidP="00FA4B56">
      <w:pPr>
        <w:rPr>
          <w:b/>
          <w:bCs/>
        </w:rPr>
      </w:pPr>
      <w:r w:rsidRPr="00FA4B56">
        <w:rPr>
          <w:b/>
          <w:bCs/>
        </w:rPr>
        <w:t>Acknowledgements</w:t>
      </w:r>
    </w:p>
    <w:p w:rsidR="00417DA4" w:rsidRPr="002E45D5" w:rsidRDefault="00417DA4" w:rsidP="00800824">
      <w:pPr>
        <w:rPr>
          <w:color w:val="000000"/>
        </w:rPr>
      </w:pPr>
      <w:r w:rsidRPr="002E45D5">
        <w:rPr>
          <w:color w:val="000000"/>
        </w:rPr>
        <w:t>The author is grateful to the Slovak Grant Agency for financial support of the project VEGA 1/0767/13.</w:t>
      </w:r>
    </w:p>
    <w:p w:rsidR="00417DA4" w:rsidRDefault="00417DA4">
      <w:pPr>
        <w:rPr>
          <w:b/>
          <w:bCs/>
          <w:sz w:val="28"/>
          <w:szCs w:val="28"/>
          <w:lang w:val="en-US"/>
        </w:rPr>
      </w:pPr>
      <w:r>
        <w:rPr>
          <w:b/>
          <w:bCs/>
          <w:sz w:val="28"/>
          <w:szCs w:val="28"/>
          <w:lang w:val="en-US"/>
        </w:rPr>
        <w:t>References</w:t>
      </w:r>
    </w:p>
    <w:p w:rsidR="00417DA4" w:rsidRPr="00F43C5D" w:rsidRDefault="00417DA4" w:rsidP="0061160C">
      <w:pPr>
        <w:rPr>
          <w:lang w:val="en-US"/>
        </w:rPr>
      </w:pPr>
      <w:r w:rsidRPr="0061160C">
        <w:rPr>
          <w:caps/>
          <w:lang w:val="en-US"/>
        </w:rPr>
        <w:t>Balaguru, P. N., Nazier, M., Arafa, M</w:t>
      </w:r>
      <w:r>
        <w:rPr>
          <w:lang w:val="en-US"/>
        </w:rPr>
        <w:t xml:space="preserve">. 2004. </w:t>
      </w:r>
      <w:r w:rsidRPr="009E4C53">
        <w:rPr>
          <w:lang w:val="en-US"/>
        </w:rPr>
        <w:t>Field implementation of geopolymer coatings.</w:t>
      </w:r>
      <w:r>
        <w:rPr>
          <w:lang w:val="en-US"/>
        </w:rPr>
        <w:t xml:space="preserve"> Final report. Rutgers</w:t>
      </w:r>
      <w:r>
        <w:rPr>
          <w:lang w:val="sk-SK"/>
        </w:rPr>
        <w:t xml:space="preserve"> - </w:t>
      </w:r>
      <w:r>
        <w:rPr>
          <w:lang w:val="en-US"/>
        </w:rPr>
        <w:t xml:space="preserve">The State University, 2004. [online] Published 19.10.2011. [citied 09.02.2012]. Accessible from </w:t>
      </w:r>
      <w:r>
        <w:rPr>
          <w:lang w:val="sk-SK"/>
        </w:rPr>
        <w:t>&lt;</w:t>
      </w:r>
      <w:r w:rsidRPr="00F43C5D">
        <w:rPr>
          <w:lang w:val="en-US"/>
        </w:rPr>
        <w:t>https://cait.rutgers.edu/files/FHWA-NJ-2002-011.pdf</w:t>
      </w:r>
      <w:r>
        <w:rPr>
          <w:lang w:val="en-US"/>
        </w:rPr>
        <w:t>&gt;.</w:t>
      </w:r>
    </w:p>
    <w:p w:rsidR="00417DA4" w:rsidRDefault="00417DA4" w:rsidP="00D16304">
      <w:pPr>
        <w:rPr>
          <w:lang w:val="en-US"/>
        </w:rPr>
      </w:pPr>
      <w:r w:rsidRPr="006803A2">
        <w:rPr>
          <w:caps/>
          <w:lang w:val="en-US"/>
        </w:rPr>
        <w:t>Davidovits</w:t>
      </w:r>
      <w:r>
        <w:rPr>
          <w:caps/>
          <w:lang w:val="en-US"/>
        </w:rPr>
        <w:t>,</w:t>
      </w:r>
      <w:r w:rsidRPr="006803A2">
        <w:rPr>
          <w:caps/>
          <w:lang w:val="en-US"/>
        </w:rPr>
        <w:t xml:space="preserve"> J.</w:t>
      </w:r>
      <w:r>
        <w:rPr>
          <w:caps/>
          <w:lang w:val="en-US"/>
        </w:rPr>
        <w:t xml:space="preserve"> 2008</w:t>
      </w:r>
      <w:r w:rsidRPr="006803A2">
        <w:rPr>
          <w:lang w:val="en-US"/>
        </w:rPr>
        <w:t xml:space="preserve"> </w:t>
      </w:r>
      <w:r w:rsidRPr="009E4C53">
        <w:rPr>
          <w:lang w:val="en-US"/>
        </w:rPr>
        <w:t>Geopolymer Chemistry and Application.</w:t>
      </w:r>
      <w:r>
        <w:rPr>
          <w:lang w:val="en-US"/>
        </w:rPr>
        <w:t xml:space="preserve"> France: Saint Quentin</w:t>
      </w:r>
      <w:r w:rsidRPr="006803A2">
        <w:rPr>
          <w:lang w:val="en-US"/>
        </w:rPr>
        <w:t>,</w:t>
      </w:r>
      <w:r>
        <w:rPr>
          <w:lang w:val="en-US"/>
        </w:rPr>
        <w:t xml:space="preserve"> Institut G</w:t>
      </w:r>
      <w:r>
        <w:rPr>
          <w:lang w:val="sk-SK"/>
        </w:rPr>
        <w:t>éopolymére,</w:t>
      </w:r>
      <w:r w:rsidRPr="006803A2">
        <w:rPr>
          <w:lang w:val="en-US"/>
        </w:rPr>
        <w:t xml:space="preserve"> 2008</w:t>
      </w:r>
      <w:r>
        <w:rPr>
          <w:lang w:val="en-US"/>
        </w:rPr>
        <w:t>. ISBN 978-29-514-8201-2.</w:t>
      </w:r>
    </w:p>
    <w:p w:rsidR="00417DA4" w:rsidRPr="009B1F73" w:rsidRDefault="00417DA4" w:rsidP="00D16304">
      <w:pPr>
        <w:rPr>
          <w:lang w:val="en-US"/>
        </w:rPr>
      </w:pPr>
      <w:r w:rsidRPr="00A437EE">
        <w:rPr>
          <w:caps/>
          <w:lang w:val="en-US"/>
        </w:rPr>
        <w:t>Chindaprasirt, P., Rukzon, S., Sirivivatnanom, V</w:t>
      </w:r>
      <w:r w:rsidRPr="0070218C">
        <w:rPr>
          <w:lang w:val="en-US"/>
        </w:rPr>
        <w:t>.</w:t>
      </w:r>
      <w:r>
        <w:rPr>
          <w:lang w:val="en-US"/>
        </w:rPr>
        <w:t xml:space="preserve"> 2008.</w:t>
      </w:r>
      <w:r w:rsidRPr="0070218C">
        <w:rPr>
          <w:lang w:val="en-US"/>
        </w:rPr>
        <w:t xml:space="preserve"> </w:t>
      </w:r>
      <w:r w:rsidRPr="009E4C53">
        <w:rPr>
          <w:lang w:val="en-US"/>
        </w:rPr>
        <w:t>Resistance to chloride penetration of blended Portland cement mortar containing oil fuel ash, rice husk ash and fly ash.</w:t>
      </w:r>
      <w:r w:rsidRPr="0070218C">
        <w:rPr>
          <w:lang w:val="en-US"/>
        </w:rPr>
        <w:t xml:space="preserve"> </w:t>
      </w:r>
      <w:r w:rsidRPr="00B12D9A">
        <w:rPr>
          <w:i/>
          <w:iCs/>
          <w:lang w:val="en-US"/>
        </w:rPr>
        <w:t>Construction of Building Materials</w:t>
      </w:r>
      <w:r>
        <w:rPr>
          <w:lang w:val="en-US"/>
        </w:rPr>
        <w:t xml:space="preserve"> [online] May, 2008. Volume 22, Issue 5, pp. 932-938. [citied 10.05.2012]. Accessible from &lt;</w:t>
      </w:r>
      <w:r w:rsidRPr="009B1F73">
        <w:rPr>
          <w:lang w:val="en-US"/>
        </w:rPr>
        <w:t>http://www.sciencedirect.com/science/article/pii/S0950061806003503</w:t>
      </w:r>
      <w:r>
        <w:rPr>
          <w:lang w:val="en-US"/>
        </w:rPr>
        <w:t>&gt;.</w:t>
      </w:r>
    </w:p>
    <w:p w:rsidR="00417DA4" w:rsidRPr="00E848D7" w:rsidRDefault="00417DA4" w:rsidP="0070218C">
      <w:pPr>
        <w:rPr>
          <w:lang w:val="en-US"/>
        </w:rPr>
      </w:pPr>
      <w:r w:rsidRPr="00A437EE">
        <w:rPr>
          <w:caps/>
          <w:lang w:val="en-US"/>
        </w:rPr>
        <w:t>Marjanović, N., Komljenović, M., Baščarević, Z., Nikolić, V</w:t>
      </w:r>
      <w:r w:rsidRPr="0070218C">
        <w:rPr>
          <w:lang w:val="en-US"/>
        </w:rPr>
        <w:t>.</w:t>
      </w:r>
      <w:r>
        <w:rPr>
          <w:lang w:val="en-US"/>
        </w:rPr>
        <w:t xml:space="preserve"> 2014.</w:t>
      </w:r>
      <w:r w:rsidRPr="0070218C">
        <w:rPr>
          <w:lang w:val="en-US"/>
        </w:rPr>
        <w:t xml:space="preserve"> Improving reactivity of fly ash and properties of ensuing geopolymers through mechanical activation. </w:t>
      </w:r>
      <w:r w:rsidRPr="00E848D7">
        <w:rPr>
          <w:i/>
          <w:iCs/>
          <w:lang w:val="en-US"/>
        </w:rPr>
        <w:t>Construction and Building Materials</w:t>
      </w:r>
      <w:r>
        <w:rPr>
          <w:lang w:val="en-US"/>
        </w:rPr>
        <w:t xml:space="preserve"> [online] 25.02.2014 . Volume 57, pp.151-162. [citied 10.05.2015]. Accessible from &lt;</w:t>
      </w:r>
      <w:r w:rsidRPr="00E848D7">
        <w:rPr>
          <w:lang w:val="en-US"/>
        </w:rPr>
        <w:t>http://www.sciencedirect.com/science/article/pii/S0950061814001305</w:t>
      </w:r>
      <w:r>
        <w:rPr>
          <w:lang w:val="en-US"/>
        </w:rPr>
        <w:t>&gt;.</w:t>
      </w:r>
    </w:p>
    <w:p w:rsidR="00417DA4" w:rsidRPr="0070218C" w:rsidRDefault="00417DA4" w:rsidP="0070218C">
      <w:pPr>
        <w:rPr>
          <w:lang w:val="en-US"/>
        </w:rPr>
      </w:pPr>
      <w:r w:rsidRPr="0070218C">
        <w:rPr>
          <w:caps/>
          <w:lang w:val="en-US"/>
        </w:rPr>
        <w:t>Michalíková, F., Floreková, L., Benková, M</w:t>
      </w:r>
      <w:r w:rsidRPr="0070218C">
        <w:rPr>
          <w:lang w:val="en-US"/>
        </w:rPr>
        <w:t>.</w:t>
      </w:r>
      <w:r>
        <w:rPr>
          <w:lang w:val="en-US"/>
        </w:rPr>
        <w:t xml:space="preserve"> 2003.</w:t>
      </w:r>
      <w:r w:rsidRPr="0070218C">
        <w:rPr>
          <w:lang w:val="en-US"/>
        </w:rPr>
        <w:t xml:space="preserve"> The characteristics of energy waste – fly ash. Utilization of technologies fo</w:t>
      </w:r>
      <w:r>
        <w:rPr>
          <w:lang w:val="en-US"/>
        </w:rPr>
        <w:t xml:space="preserve">r the environmental management. </w:t>
      </w:r>
      <w:r w:rsidRPr="0070218C">
        <w:rPr>
          <w:lang w:val="en-US"/>
        </w:rPr>
        <w:t>Ko</w:t>
      </w:r>
      <w:r>
        <w:rPr>
          <w:lang w:val="en-US"/>
        </w:rPr>
        <w:t>s</w:t>
      </w:r>
      <w:r w:rsidRPr="0070218C">
        <w:rPr>
          <w:lang w:val="en-US"/>
        </w:rPr>
        <w:t>ice</w:t>
      </w:r>
      <w:r>
        <w:rPr>
          <w:lang w:val="en-US"/>
        </w:rPr>
        <w:t>,</w:t>
      </w:r>
      <w:r w:rsidRPr="0070218C">
        <w:rPr>
          <w:lang w:val="en-US"/>
        </w:rPr>
        <w:t xml:space="preserve"> 2003, </w:t>
      </w:r>
      <w:r>
        <w:rPr>
          <w:lang w:val="en-US"/>
        </w:rPr>
        <w:t>p</w:t>
      </w:r>
      <w:r w:rsidRPr="0070218C">
        <w:rPr>
          <w:lang w:val="en-US"/>
        </w:rPr>
        <w:t>p. 228,</w:t>
      </w:r>
      <w:r>
        <w:rPr>
          <w:lang w:val="en-US"/>
        </w:rPr>
        <w:t xml:space="preserve"> [citied 12.10.2009]</w:t>
      </w:r>
      <w:r w:rsidRPr="0070218C">
        <w:rPr>
          <w:lang w:val="en-US"/>
        </w:rPr>
        <w:t xml:space="preserve"> ISBN 80-8073-054-7.</w:t>
      </w:r>
    </w:p>
    <w:p w:rsidR="00417DA4" w:rsidRPr="00BB2E99" w:rsidRDefault="00417DA4" w:rsidP="00D16304">
      <w:pPr>
        <w:rPr>
          <w:lang w:val="en-US"/>
        </w:rPr>
      </w:pPr>
      <w:r w:rsidRPr="00A437EE">
        <w:rPr>
          <w:caps/>
          <w:lang w:val="en-US"/>
        </w:rPr>
        <w:t>Palomo, A., Grutzeck, M. W., Blanco, M. T</w:t>
      </w:r>
      <w:r w:rsidRPr="0070218C">
        <w:rPr>
          <w:lang w:val="en-US"/>
        </w:rPr>
        <w:t>.</w:t>
      </w:r>
      <w:r>
        <w:rPr>
          <w:lang w:val="en-US"/>
        </w:rPr>
        <w:t xml:space="preserve"> 1999.</w:t>
      </w:r>
      <w:r w:rsidRPr="0070218C">
        <w:rPr>
          <w:lang w:val="en-US"/>
        </w:rPr>
        <w:t xml:space="preserve"> Alkali-activated fly ashes. </w:t>
      </w:r>
      <w:r>
        <w:rPr>
          <w:lang w:val="en-US"/>
        </w:rPr>
        <w:t>A c</w:t>
      </w:r>
      <w:r w:rsidRPr="0070218C">
        <w:rPr>
          <w:lang w:val="en-US"/>
        </w:rPr>
        <w:t xml:space="preserve">ement for the future. </w:t>
      </w:r>
      <w:r w:rsidRPr="005D6F68">
        <w:rPr>
          <w:i/>
          <w:iCs/>
          <w:lang w:val="en-US"/>
        </w:rPr>
        <w:t>Cement and Concrete Research</w:t>
      </w:r>
      <w:r>
        <w:rPr>
          <w:lang w:val="en-US"/>
        </w:rPr>
        <w:t>. [online] 21.09.1999. Volume</w:t>
      </w:r>
      <w:r w:rsidRPr="0070218C">
        <w:rPr>
          <w:lang w:val="en-US"/>
        </w:rPr>
        <w:t xml:space="preserve"> 29. 1999. p</w:t>
      </w:r>
      <w:r>
        <w:rPr>
          <w:lang w:val="en-US"/>
        </w:rPr>
        <w:t>p</w:t>
      </w:r>
      <w:r w:rsidRPr="0070218C">
        <w:rPr>
          <w:lang w:val="en-US"/>
        </w:rPr>
        <w:t>. 1323-1329.</w:t>
      </w:r>
      <w:r w:rsidRPr="005D6F68">
        <w:rPr>
          <w:lang w:val="en-US"/>
        </w:rPr>
        <w:t xml:space="preserve"> </w:t>
      </w:r>
      <w:r>
        <w:rPr>
          <w:lang w:val="en-US"/>
        </w:rPr>
        <w:t>[citied 12.10.2009]. Accessible from &lt;</w:t>
      </w:r>
      <w:r w:rsidRPr="00BB2E99">
        <w:rPr>
          <w:lang w:val="en-US"/>
        </w:rPr>
        <w:t>http://www.sciencedirect.com/science/article/pii/S0008884698002439</w:t>
      </w:r>
      <w:r>
        <w:rPr>
          <w:lang w:val="en-US"/>
        </w:rPr>
        <w:t>&gt;.</w:t>
      </w:r>
    </w:p>
    <w:p w:rsidR="00417DA4" w:rsidRDefault="00417DA4" w:rsidP="00D16304">
      <w:pPr>
        <w:rPr>
          <w:lang w:val="en-US"/>
        </w:rPr>
      </w:pPr>
      <w:r>
        <w:rPr>
          <w:caps/>
          <w:lang w:val="en-US"/>
        </w:rPr>
        <w:t xml:space="preserve">Palomo, </w:t>
      </w:r>
      <w:r w:rsidRPr="00A437EE">
        <w:rPr>
          <w:caps/>
          <w:lang w:val="en-US"/>
        </w:rPr>
        <w:t>A., Fernández-Jiménez, A</w:t>
      </w:r>
      <w:r w:rsidRPr="0070218C">
        <w:rPr>
          <w:lang w:val="en-US"/>
        </w:rPr>
        <w:t xml:space="preserve">. </w:t>
      </w:r>
      <w:r>
        <w:rPr>
          <w:lang w:val="en-US"/>
        </w:rPr>
        <w:t xml:space="preserve">2011. </w:t>
      </w:r>
      <w:r w:rsidRPr="0070218C">
        <w:rPr>
          <w:lang w:val="en-US"/>
        </w:rPr>
        <w:t>Alkaline activation, procedure for transforming fly ash into new materials. World of Coal Ash (WOCA) Conference. USA. 2011.</w:t>
      </w:r>
      <w:r>
        <w:rPr>
          <w:lang w:val="en-US"/>
        </w:rPr>
        <w:t xml:space="preserve"> [online] 15.03.2011.</w:t>
      </w:r>
      <w:r w:rsidRPr="00445243">
        <w:rPr>
          <w:lang w:val="en-US"/>
        </w:rPr>
        <w:t xml:space="preserve"> </w:t>
      </w:r>
      <w:r>
        <w:rPr>
          <w:lang w:val="en-US"/>
        </w:rPr>
        <w:t>[citied 05.05.2011]. Accessible from &lt;</w:t>
      </w:r>
      <w:r w:rsidRPr="00445243">
        <w:rPr>
          <w:lang w:val="en-US"/>
        </w:rPr>
        <w:t>http://www.flyash.info/2011/205-palomo-2011.pdf</w:t>
      </w:r>
      <w:r>
        <w:rPr>
          <w:lang w:val="en-US"/>
        </w:rPr>
        <w:t>&gt;.</w:t>
      </w:r>
    </w:p>
    <w:p w:rsidR="00417DA4" w:rsidRDefault="00417DA4" w:rsidP="00515B4A">
      <w:pPr>
        <w:rPr>
          <w:caps/>
          <w:lang w:val="en-US"/>
        </w:rPr>
      </w:pPr>
      <w:r w:rsidRPr="00F8165C">
        <w:rPr>
          <w:caps/>
        </w:rPr>
        <w:t>Rai, A., Rao, D.B.N. 2005</w:t>
      </w:r>
      <w:r>
        <w:t>. Utilisation potentials of industrial/mining rejects and tailings as building materiále. Management of Environmental Quality: An International Journal, Volume 16. Issue 6, pp.605 – 614</w:t>
      </w:r>
      <w:r>
        <w:rPr>
          <w:caps/>
          <w:lang w:val="en-US"/>
        </w:rPr>
        <w:t>.</w:t>
      </w:r>
    </w:p>
    <w:p w:rsidR="00417DA4" w:rsidRDefault="00417DA4" w:rsidP="00515B4A">
      <w:pPr>
        <w:rPr>
          <w:lang w:val="en-US"/>
        </w:rPr>
      </w:pPr>
      <w:r w:rsidRPr="00A437EE">
        <w:rPr>
          <w:caps/>
          <w:lang w:val="en-US"/>
        </w:rPr>
        <w:t>Rangan, B. V</w:t>
      </w:r>
      <w:r w:rsidRPr="0070218C">
        <w:rPr>
          <w:lang w:val="en-US"/>
        </w:rPr>
        <w:t>.</w:t>
      </w:r>
      <w:r>
        <w:rPr>
          <w:lang w:val="en-US"/>
        </w:rPr>
        <w:t xml:space="preserve"> 2008.</w:t>
      </w:r>
      <w:r w:rsidRPr="0070218C">
        <w:rPr>
          <w:lang w:val="en-US"/>
        </w:rPr>
        <w:t xml:space="preserve"> Fly ash-based geopolymer concrete. Curtin University of Technology. Engineering Faculty. Research Report GC 4. Perth, Australia. 2008.</w:t>
      </w:r>
      <w:r>
        <w:rPr>
          <w:lang w:val="en-US"/>
        </w:rPr>
        <w:t xml:space="preserve"> [online] September, 2009.</w:t>
      </w:r>
      <w:r w:rsidRPr="00445243">
        <w:rPr>
          <w:lang w:val="en-US"/>
        </w:rPr>
        <w:t xml:space="preserve"> </w:t>
      </w:r>
      <w:r>
        <w:rPr>
          <w:lang w:val="en-US"/>
        </w:rPr>
        <w:t xml:space="preserve">[citied 02.02.2010]. </w:t>
      </w:r>
    </w:p>
    <w:p w:rsidR="00417DA4" w:rsidRPr="0070218C" w:rsidRDefault="00417DA4" w:rsidP="00515B4A">
      <w:pPr>
        <w:rPr>
          <w:lang w:val="en-US"/>
        </w:rPr>
      </w:pPr>
      <w:r w:rsidRPr="00A437EE">
        <w:rPr>
          <w:caps/>
          <w:lang w:val="en-US"/>
        </w:rPr>
        <w:t>Ra</w:t>
      </w:r>
      <w:r>
        <w:rPr>
          <w:caps/>
          <w:lang w:val="en-US"/>
        </w:rPr>
        <w:t>vindra N. T.</w:t>
      </w:r>
      <w:r w:rsidRPr="00A437EE">
        <w:rPr>
          <w:caps/>
          <w:lang w:val="en-US"/>
        </w:rPr>
        <w:t>, Gh</w:t>
      </w:r>
      <w:r>
        <w:rPr>
          <w:caps/>
          <w:lang w:val="en-US"/>
        </w:rPr>
        <w:t xml:space="preserve">osh, </w:t>
      </w:r>
      <w:r w:rsidRPr="00A437EE">
        <w:rPr>
          <w:caps/>
          <w:lang w:val="en-US"/>
        </w:rPr>
        <w:t>S</w:t>
      </w:r>
      <w:r w:rsidRPr="0070218C">
        <w:rPr>
          <w:lang w:val="en-US"/>
        </w:rPr>
        <w:t>.</w:t>
      </w:r>
      <w:r>
        <w:rPr>
          <w:lang w:val="en-US"/>
        </w:rPr>
        <w:t xml:space="preserve"> 2009.</w:t>
      </w:r>
      <w:r w:rsidRPr="0070218C">
        <w:rPr>
          <w:lang w:val="en-US"/>
        </w:rPr>
        <w:t xml:space="preserve"> Effect of mix composition on compressive strength and microstructure of fly ash based geopolymer composites. ARPN Journal of Engine</w:t>
      </w:r>
      <w:r>
        <w:rPr>
          <w:lang w:val="en-US"/>
        </w:rPr>
        <w:t>ering and Applied Sciences. [online] Jun, 2009, Volume 4, Issue</w:t>
      </w:r>
      <w:r w:rsidRPr="0070218C">
        <w:rPr>
          <w:lang w:val="en-US"/>
        </w:rPr>
        <w:t xml:space="preserve"> 4, 2009, </w:t>
      </w:r>
      <w:r>
        <w:rPr>
          <w:lang w:val="en-US"/>
        </w:rPr>
        <w:t>p</w:t>
      </w:r>
      <w:r w:rsidRPr="0070218C">
        <w:rPr>
          <w:lang w:val="en-US"/>
        </w:rPr>
        <w:t>p. 68-73.</w:t>
      </w:r>
      <w:r w:rsidRPr="00445243">
        <w:rPr>
          <w:lang w:val="en-US"/>
        </w:rPr>
        <w:t xml:space="preserve"> </w:t>
      </w:r>
      <w:r>
        <w:rPr>
          <w:lang w:val="en-US"/>
        </w:rPr>
        <w:t>[citied 02.02.2010]. Accessible from &lt;</w:t>
      </w:r>
      <w:r w:rsidRPr="00A875D2">
        <w:rPr>
          <w:lang w:val="en-US"/>
        </w:rPr>
        <w:t>http://arpnjournals.com/jeas/research_papers/rp_2009/jeas_0609_200.pdf</w:t>
      </w:r>
      <w:r>
        <w:rPr>
          <w:lang w:val="en-US"/>
        </w:rPr>
        <w:t>&gt;. ISSN 1819-6608.</w:t>
      </w:r>
    </w:p>
    <w:p w:rsidR="00417DA4" w:rsidRPr="00B71613" w:rsidRDefault="00417DA4" w:rsidP="0070218C">
      <w:pPr>
        <w:rPr>
          <w:lang w:val="en-US"/>
        </w:rPr>
      </w:pPr>
      <w:r w:rsidRPr="0070218C">
        <w:rPr>
          <w:caps/>
          <w:lang w:val="en-US"/>
        </w:rPr>
        <w:t>Rukzon, S., Chindaprasirt, P</w:t>
      </w:r>
      <w:r w:rsidRPr="0070218C">
        <w:rPr>
          <w:lang w:val="en-US"/>
        </w:rPr>
        <w:t xml:space="preserve">. </w:t>
      </w:r>
      <w:r>
        <w:rPr>
          <w:lang w:val="en-US"/>
        </w:rPr>
        <w:t xml:space="preserve">2008. </w:t>
      </w:r>
      <w:r w:rsidRPr="0070218C">
        <w:rPr>
          <w:lang w:val="en-US"/>
        </w:rPr>
        <w:t xml:space="preserve">Development of classified fly ash as pozzolanic materials. </w:t>
      </w:r>
      <w:r>
        <w:rPr>
          <w:lang w:val="en-US"/>
        </w:rPr>
        <w:t>Journal of Applied Science. [online] September, 2008. Volume</w:t>
      </w:r>
      <w:r w:rsidRPr="0070218C">
        <w:rPr>
          <w:lang w:val="en-US"/>
        </w:rPr>
        <w:t xml:space="preserve"> 8, 2008, </w:t>
      </w:r>
      <w:r>
        <w:rPr>
          <w:lang w:val="en-US"/>
        </w:rPr>
        <w:t>Issue</w:t>
      </w:r>
      <w:r w:rsidRPr="0070218C">
        <w:rPr>
          <w:lang w:val="en-US"/>
        </w:rPr>
        <w:t xml:space="preserve"> 6, </w:t>
      </w:r>
      <w:r>
        <w:rPr>
          <w:lang w:val="en-US"/>
        </w:rPr>
        <w:t>p</w:t>
      </w:r>
      <w:r w:rsidRPr="0070218C">
        <w:rPr>
          <w:lang w:val="en-US"/>
        </w:rPr>
        <w:t>p. 1097.</w:t>
      </w:r>
      <w:r>
        <w:rPr>
          <w:lang w:val="en-US"/>
        </w:rPr>
        <w:t xml:space="preserve"> [citied 08.04.2010]. Accessible from &lt;</w:t>
      </w:r>
      <w:r w:rsidRPr="00B71613">
        <w:rPr>
          <w:lang w:val="en-US"/>
        </w:rPr>
        <w:t>http://www.researchgate.net/publication/46029158_Development_of_Classified_Fly_Ash_as_a_Pozzolanic_Material</w:t>
      </w:r>
      <w:r>
        <w:rPr>
          <w:lang w:val="en-US"/>
        </w:rPr>
        <w:t>&gt;.</w:t>
      </w:r>
    </w:p>
    <w:p w:rsidR="00417DA4" w:rsidRDefault="00417DA4" w:rsidP="00515B4A">
      <w:pPr>
        <w:rPr>
          <w:lang w:val="en-US"/>
        </w:rPr>
      </w:pPr>
      <w:r w:rsidRPr="0070218C">
        <w:rPr>
          <w:lang w:val="en-US"/>
        </w:rPr>
        <w:t>STN 731316</w:t>
      </w:r>
      <w:r>
        <w:rPr>
          <w:lang w:val="en-US"/>
        </w:rPr>
        <w:t xml:space="preserve"> </w:t>
      </w:r>
      <w:r w:rsidRPr="0070218C">
        <w:rPr>
          <w:lang w:val="en-US"/>
        </w:rPr>
        <w:t>(731316): 1989: Determination of moisture, water absorption and capillarity of concrete</w:t>
      </w:r>
      <w:r>
        <w:rPr>
          <w:lang w:val="en-US"/>
        </w:rPr>
        <w:t>, national standard</w:t>
      </w:r>
      <w:r w:rsidRPr="0070218C">
        <w:rPr>
          <w:lang w:val="en-US"/>
        </w:rPr>
        <w:t>.</w:t>
      </w:r>
    </w:p>
    <w:p w:rsidR="00417DA4" w:rsidRPr="0070218C" w:rsidRDefault="00417DA4" w:rsidP="00515B4A">
      <w:pPr>
        <w:rPr>
          <w:lang w:val="en-US"/>
        </w:rPr>
      </w:pPr>
      <w:r w:rsidRPr="0070218C">
        <w:rPr>
          <w:lang w:val="en-US"/>
        </w:rPr>
        <w:t>STN EN 1015-11: 2001: Methods of test for mortar for masonry. Part 11: Determination of flexural and compressive strength of hardened mortar.</w:t>
      </w:r>
    </w:p>
    <w:p w:rsidR="00417DA4" w:rsidRPr="0070218C" w:rsidRDefault="00417DA4" w:rsidP="00515B4A">
      <w:pPr>
        <w:rPr>
          <w:lang w:val="en-US"/>
        </w:rPr>
      </w:pPr>
      <w:r w:rsidRPr="0070218C">
        <w:rPr>
          <w:lang w:val="en-US"/>
        </w:rPr>
        <w:t xml:space="preserve">STN EN 1015-10: 2001: Methods of test for mortar for masonry. </w:t>
      </w:r>
      <w:r>
        <w:rPr>
          <w:lang w:val="en-US"/>
        </w:rPr>
        <w:t>Part 10</w:t>
      </w:r>
      <w:r>
        <w:rPr>
          <w:lang w:val="sk-SK"/>
        </w:rPr>
        <w:t xml:space="preserve">: </w:t>
      </w:r>
      <w:r w:rsidRPr="0070218C">
        <w:rPr>
          <w:lang w:val="en-US"/>
        </w:rPr>
        <w:t>Determination of dry bulk density of hardened mortar.</w:t>
      </w:r>
    </w:p>
    <w:p w:rsidR="00417DA4" w:rsidRPr="00F3163B" w:rsidRDefault="00417DA4" w:rsidP="00515B4A">
      <w:pPr>
        <w:rPr>
          <w:lang w:val="en-US"/>
        </w:rPr>
      </w:pPr>
      <w:r w:rsidRPr="00A437EE">
        <w:rPr>
          <w:caps/>
          <w:lang w:val="en-US"/>
        </w:rPr>
        <w:t>Škvara, F., Jílek, T., Kopecký, L.</w:t>
      </w:r>
      <w:r>
        <w:rPr>
          <w:caps/>
          <w:lang w:val="en-US"/>
        </w:rPr>
        <w:t xml:space="preserve"> 2005.</w:t>
      </w:r>
      <w:r w:rsidRPr="0070218C">
        <w:rPr>
          <w:lang w:val="en-US"/>
        </w:rPr>
        <w:t xml:space="preserve"> Geopolymer materials based on fly ash. </w:t>
      </w:r>
      <w:r w:rsidRPr="00FB78DF">
        <w:rPr>
          <w:i/>
          <w:iCs/>
          <w:lang w:val="en-US"/>
        </w:rPr>
        <w:t>Ceramics – Silicate</w:t>
      </w:r>
      <w:r w:rsidRPr="0070218C">
        <w:rPr>
          <w:lang w:val="en-US"/>
        </w:rPr>
        <w:t>.</w:t>
      </w:r>
      <w:r w:rsidRPr="00BD70AA">
        <w:rPr>
          <w:lang w:val="en-US"/>
        </w:rPr>
        <w:t xml:space="preserve"> </w:t>
      </w:r>
      <w:r>
        <w:rPr>
          <w:lang w:val="en-US"/>
        </w:rPr>
        <w:t>[online] April, 2005. Volume 49, Issue 3</w:t>
      </w:r>
      <w:r w:rsidRPr="0070218C">
        <w:rPr>
          <w:lang w:val="en-US"/>
        </w:rPr>
        <w:t>. 2005. p</w:t>
      </w:r>
      <w:r>
        <w:rPr>
          <w:lang w:val="en-US"/>
        </w:rPr>
        <w:t>p</w:t>
      </w:r>
      <w:r w:rsidRPr="0070218C">
        <w:rPr>
          <w:lang w:val="en-US"/>
        </w:rPr>
        <w:t>. 195-204.</w:t>
      </w:r>
      <w:r>
        <w:rPr>
          <w:lang w:val="en-US"/>
        </w:rPr>
        <w:t xml:space="preserve"> [citied 02.02.2009]. Accessible from &lt;</w:t>
      </w:r>
      <w:r w:rsidRPr="00F3163B">
        <w:rPr>
          <w:lang w:val="en-US"/>
        </w:rPr>
        <w:t>http://www.geopolymery.eu/aitom/upload/documents/ceramics_2005-03-195.pdf</w:t>
      </w:r>
      <w:r>
        <w:rPr>
          <w:lang w:val="en-US"/>
        </w:rPr>
        <w:t>&gt;.</w:t>
      </w:r>
    </w:p>
    <w:p w:rsidR="00417DA4" w:rsidRDefault="00417DA4" w:rsidP="00EE2BFF">
      <w:pPr>
        <w:rPr>
          <w:lang w:val="en-US"/>
        </w:rPr>
      </w:pPr>
      <w:r w:rsidRPr="00D16304">
        <w:rPr>
          <w:lang w:val="en-US"/>
        </w:rPr>
        <w:t>T</w:t>
      </w:r>
      <w:r>
        <w:rPr>
          <w:lang w:val="en-US"/>
        </w:rPr>
        <w:t xml:space="preserve">EMUUJIN, J. et al. 2010. Fly ash based geopolymer thin coatings on metal substrates and its thermal evaluation. </w:t>
      </w:r>
      <w:r w:rsidRPr="00FB78DF">
        <w:rPr>
          <w:i/>
          <w:iCs/>
          <w:lang w:val="en-US"/>
        </w:rPr>
        <w:t>Journal of Hazardous Materials</w:t>
      </w:r>
      <w:r>
        <w:rPr>
          <w:lang w:val="en-US"/>
        </w:rPr>
        <w:t>. [online] April, 2010. Volume 180, Issue 1. 2010. pp. 748 - 752.</w:t>
      </w:r>
      <w:r w:rsidRPr="00BD70AA">
        <w:rPr>
          <w:lang w:val="en-US"/>
        </w:rPr>
        <w:t xml:space="preserve"> </w:t>
      </w:r>
      <w:r>
        <w:rPr>
          <w:lang w:val="en-US"/>
        </w:rPr>
        <w:t xml:space="preserve">[citied 16.05.2012]. </w:t>
      </w:r>
    </w:p>
    <w:p w:rsidR="00417DA4" w:rsidRDefault="00417DA4">
      <w:pPr>
        <w:rPr>
          <w:lang w:val="en-US"/>
        </w:rPr>
      </w:pPr>
      <w:r w:rsidRPr="00A437EE">
        <w:rPr>
          <w:caps/>
          <w:lang w:val="en-US"/>
        </w:rPr>
        <w:t>Yazici, S., Arel, S</w:t>
      </w:r>
      <w:r w:rsidRPr="0070218C">
        <w:rPr>
          <w:lang w:val="en-US"/>
        </w:rPr>
        <w:t xml:space="preserve">. </w:t>
      </w:r>
      <w:r>
        <w:rPr>
          <w:lang w:val="en-US"/>
        </w:rPr>
        <w:t xml:space="preserve">2012. </w:t>
      </w:r>
      <w:r w:rsidRPr="0070218C">
        <w:rPr>
          <w:lang w:val="en-US"/>
        </w:rPr>
        <w:t>Effects of fly ash fineness on the mechanical prope</w:t>
      </w:r>
      <w:r>
        <w:rPr>
          <w:lang w:val="en-US"/>
        </w:rPr>
        <w:t>rties of concrete. Sadhana. [online] Jun, 2012. Volume</w:t>
      </w:r>
      <w:r w:rsidRPr="0070218C">
        <w:rPr>
          <w:lang w:val="en-US"/>
        </w:rPr>
        <w:t xml:space="preserve"> 37, Part 3. Indian Academy of Sciences. 2012, </w:t>
      </w:r>
      <w:r>
        <w:rPr>
          <w:lang w:val="en-US"/>
        </w:rPr>
        <w:t>p</w:t>
      </w:r>
      <w:r w:rsidRPr="0070218C">
        <w:rPr>
          <w:lang w:val="en-US"/>
        </w:rPr>
        <w:t>p. 389-403.</w:t>
      </w:r>
      <w:r>
        <w:rPr>
          <w:lang w:val="en-US"/>
        </w:rPr>
        <w:t xml:space="preserve"> [citied 15.04.2015].</w:t>
      </w:r>
    </w:p>
    <w:p w:rsidR="00417DA4" w:rsidRPr="00A2128B" w:rsidRDefault="00417DA4">
      <w:pPr>
        <w:rPr>
          <w:lang w:val="en-US"/>
        </w:rPr>
      </w:pPr>
      <w:r w:rsidRPr="004033BD">
        <w:rPr>
          <w:caps/>
          <w:lang w:val="en-US"/>
        </w:rPr>
        <w:t>Želinková, M., Sičáková, A., Holub, M. 2013</w:t>
      </w:r>
      <w:r w:rsidRPr="007C4DEB">
        <w:rPr>
          <w:lang w:val="en-US"/>
        </w:rPr>
        <w:t>. Influence of Selected Grinding Specifications on the Fly Ash Granulometry. In: Procedia Engineering : Concrete and Concrete Structures 2013 : 6th International Conference, Slovakia. - Amsterdam</w:t>
      </w:r>
      <w:r>
        <w:rPr>
          <w:lang w:val="en-US"/>
        </w:rPr>
        <w:t xml:space="preserve"> : Elsevier. [online] Jun, 2013. Volume 65</w:t>
      </w:r>
      <w:r w:rsidRPr="007C4DEB">
        <w:rPr>
          <w:lang w:val="en-US"/>
        </w:rPr>
        <w:t xml:space="preserve">, </w:t>
      </w:r>
      <w:r>
        <w:rPr>
          <w:lang w:val="en-US"/>
        </w:rPr>
        <w:t>pp. 39-44. Accessible from</w:t>
      </w:r>
      <w:r w:rsidRPr="007C4DEB">
        <w:rPr>
          <w:lang w:val="en-US"/>
        </w:rPr>
        <w:t xml:space="preserve">: </w:t>
      </w:r>
      <w:r>
        <w:rPr>
          <w:lang w:val="en-US"/>
        </w:rPr>
        <w:t>&lt;</w:t>
      </w:r>
      <w:r w:rsidRPr="00A2128B">
        <w:rPr>
          <w:lang w:val="en-US"/>
        </w:rPr>
        <w:t>http://www.sciencedirect.com/science/article/pii/S1877705813015154</w:t>
      </w:r>
      <w:r>
        <w:rPr>
          <w:lang w:val="en-US"/>
        </w:rPr>
        <w:t>&gt;.</w:t>
      </w:r>
      <w:r w:rsidRPr="00673ED7">
        <w:rPr>
          <w:lang w:val="en-US"/>
        </w:rPr>
        <w:t xml:space="preserve"> </w:t>
      </w:r>
      <w:r w:rsidRPr="007C4DEB">
        <w:rPr>
          <w:lang w:val="en-US"/>
        </w:rPr>
        <w:t>ISSN 1877-7058</w:t>
      </w:r>
      <w:r>
        <w:rPr>
          <w:lang w:val="en-US"/>
        </w:rPr>
        <w:t>.</w:t>
      </w:r>
    </w:p>
    <w:p w:rsidR="00417DA4" w:rsidRPr="004033BD" w:rsidRDefault="00417DA4">
      <w:pPr>
        <w:rPr>
          <w:lang w:val="en-US"/>
        </w:rPr>
      </w:pPr>
      <w:r w:rsidRPr="00532F8C">
        <w:rPr>
          <w:caps/>
          <w:lang w:val="en-US"/>
        </w:rPr>
        <w:t>Želinková</w:t>
      </w:r>
      <w:r>
        <w:rPr>
          <w:caps/>
          <w:lang w:val="en-US"/>
        </w:rPr>
        <w:t>, M.</w:t>
      </w:r>
      <w:r w:rsidRPr="00532F8C">
        <w:rPr>
          <w:caps/>
          <w:lang w:val="en-US"/>
        </w:rPr>
        <w:t xml:space="preserve"> </w:t>
      </w:r>
      <w:r>
        <w:rPr>
          <w:caps/>
          <w:lang w:val="en-US"/>
        </w:rPr>
        <w:t xml:space="preserve">2014. </w:t>
      </w:r>
      <w:r w:rsidRPr="00532F8C">
        <w:rPr>
          <w:lang w:val="en-US"/>
        </w:rPr>
        <w:t xml:space="preserve">The analysis of particle size of fly ashes – the possibility of obtaining fine particles by grinding. In: </w:t>
      </w:r>
      <w:r>
        <w:rPr>
          <w:rStyle w:val="hps"/>
          <w:rFonts w:cs="Arial"/>
          <w:lang/>
        </w:rPr>
        <w:t>Seminar PhD Students</w:t>
      </w:r>
      <w:r w:rsidRPr="00532F8C">
        <w:rPr>
          <w:lang w:val="en-US"/>
        </w:rPr>
        <w:t xml:space="preserve"> 2014: </w:t>
      </w:r>
      <w:r w:rsidRPr="005E7F54">
        <w:rPr>
          <w:color w:val="000000"/>
        </w:rPr>
        <w:t>Environmental Engineering</w:t>
      </w:r>
      <w:r w:rsidRPr="00532F8C">
        <w:rPr>
          <w:lang w:val="en-US"/>
        </w:rPr>
        <w:t xml:space="preserve">: </w:t>
      </w:r>
      <w:r>
        <w:rPr>
          <w:lang/>
        </w:rPr>
        <w:t>p</w:t>
      </w:r>
      <w:r w:rsidRPr="00EC5430">
        <w:rPr>
          <w:lang/>
        </w:rPr>
        <w:t>roceedings</w:t>
      </w:r>
      <w:r>
        <w:rPr>
          <w:lang w:val="en-US"/>
        </w:rPr>
        <w:t>.</w:t>
      </w:r>
      <w:r w:rsidRPr="00532F8C">
        <w:rPr>
          <w:lang w:val="en-US"/>
        </w:rPr>
        <w:t xml:space="preserve"> </w:t>
      </w:r>
      <w:r>
        <w:rPr>
          <w:lang w:val="en-US"/>
        </w:rPr>
        <w:t xml:space="preserve">Volume 6. [CD-ROM]. </w:t>
      </w:r>
      <w:r w:rsidRPr="00532F8C">
        <w:rPr>
          <w:lang w:val="en-US"/>
        </w:rPr>
        <w:t>Ko</w:t>
      </w:r>
      <w:r>
        <w:rPr>
          <w:lang w:val="en-US"/>
        </w:rPr>
        <w:t>s</w:t>
      </w:r>
      <w:r w:rsidRPr="00532F8C">
        <w:rPr>
          <w:lang w:val="en-US"/>
        </w:rPr>
        <w:t xml:space="preserve">ice : </w:t>
      </w:r>
      <w:r w:rsidRPr="005E7F54">
        <w:rPr>
          <w:color w:val="000000"/>
        </w:rPr>
        <w:t>Technical University</w:t>
      </w:r>
      <w:r>
        <w:rPr>
          <w:lang w:val="en-US"/>
        </w:rPr>
        <w:t xml:space="preserve">, 2014, pp. 72-80. </w:t>
      </w:r>
      <w:r w:rsidRPr="00532F8C">
        <w:rPr>
          <w:lang w:val="en-US"/>
        </w:rPr>
        <w:t>ISBN 978-80-553-1914-8</w:t>
      </w:r>
      <w:r>
        <w:rPr>
          <w:lang w:val="en-US"/>
        </w:rPr>
        <w:t>.</w:t>
      </w:r>
      <w:r w:rsidRPr="00532F8C">
        <w:rPr>
          <w:lang w:val="en-US"/>
        </w:rPr>
        <w:t xml:space="preserve"> </w:t>
      </w:r>
    </w:p>
    <w:sectPr w:rsidR="00417DA4" w:rsidRPr="004033BD" w:rsidSect="00F970A5">
      <w:headerReference w:type="default" r:id="rId14"/>
      <w:footerReference w:type="default" r:id="rId15"/>
      <w:pgSz w:w="11906" w:h="16838"/>
      <w:pgMar w:top="1417" w:right="1417" w:bottom="1417" w:left="1417" w:header="0" w:footer="708" w:gutter="0"/>
      <w:lnNumType w:countBy="1" w:restart="continuous"/>
      <w:cols w:space="708"/>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DA4" w:rsidRDefault="00417DA4">
      <w:pPr>
        <w:spacing w:after="0" w:line="240" w:lineRule="auto"/>
      </w:pPr>
      <w:r>
        <w:separator/>
      </w:r>
    </w:p>
  </w:endnote>
  <w:endnote w:type="continuationSeparator" w:id="0">
    <w:p w:rsidR="00417DA4" w:rsidRDefault="00417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DA4" w:rsidRDefault="00417DA4">
    <w:pPr>
      <w:pStyle w:val="Index9"/>
      <w:jc w:val="center"/>
    </w:pPr>
    <w:fldSimple w:instr="PAGE">
      <w:r>
        <w:rPr>
          <w:noProof/>
        </w:rPr>
        <w:t>1</w:t>
      </w:r>
    </w:fldSimple>
  </w:p>
  <w:p w:rsidR="00417DA4" w:rsidRDefault="00417DA4">
    <w:pPr>
      <w:pStyle w:val="Index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DA4" w:rsidRDefault="00417DA4">
      <w:pPr>
        <w:spacing w:after="0" w:line="240" w:lineRule="auto"/>
      </w:pPr>
      <w:r>
        <w:separator/>
      </w:r>
    </w:p>
  </w:footnote>
  <w:footnote w:type="continuationSeparator" w:id="0">
    <w:p w:rsidR="00417DA4" w:rsidRDefault="00417D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DA4" w:rsidRDefault="00417D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265C5"/>
    <w:multiLevelType w:val="hybridMultilevel"/>
    <w:tmpl w:val="D17AE5DA"/>
    <w:lvl w:ilvl="0" w:tplc="6464C92A">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
    <w:nsid w:val="17914D83"/>
    <w:multiLevelType w:val="hybridMultilevel"/>
    <w:tmpl w:val="AF32B876"/>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nsid w:val="19B16121"/>
    <w:multiLevelType w:val="hybridMultilevel"/>
    <w:tmpl w:val="E974B57E"/>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nsid w:val="1BB17D61"/>
    <w:multiLevelType w:val="multilevel"/>
    <w:tmpl w:val="82E4EE5A"/>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186A1D"/>
    <w:multiLevelType w:val="hybridMultilevel"/>
    <w:tmpl w:val="954CED66"/>
    <w:lvl w:ilvl="0" w:tplc="FFFFFFFF">
      <w:start w:val="1"/>
      <w:numFmt w:val="decimal"/>
      <w:pStyle w:val="ReferencesList"/>
      <w:lvlText w:val="[%1]"/>
      <w:lvlJc w:val="left"/>
      <w:pPr>
        <w:tabs>
          <w:tab w:val="num" w:pos="502"/>
        </w:tabs>
        <w:ind w:left="499" w:hanging="357"/>
      </w:pPr>
      <w:rPr>
        <w:rFonts w:hint="default"/>
      </w:rPr>
    </w:lvl>
    <w:lvl w:ilvl="1" w:tplc="FFFFFFFF">
      <w:start w:val="1"/>
      <w:numFmt w:val="lowerLetter"/>
      <w:lvlText w:val="%2."/>
      <w:lvlJc w:val="left"/>
      <w:pPr>
        <w:tabs>
          <w:tab w:val="num" w:pos="1582"/>
        </w:tabs>
        <w:ind w:left="1582" w:hanging="360"/>
      </w:pPr>
    </w:lvl>
    <w:lvl w:ilvl="2" w:tplc="FFFFFFFF">
      <w:start w:val="1"/>
      <w:numFmt w:val="lowerRoman"/>
      <w:lvlText w:val="%3."/>
      <w:lvlJc w:val="right"/>
      <w:pPr>
        <w:tabs>
          <w:tab w:val="num" w:pos="2302"/>
        </w:tabs>
        <w:ind w:left="2302" w:hanging="180"/>
      </w:pPr>
    </w:lvl>
    <w:lvl w:ilvl="3" w:tplc="FFFFFFFF">
      <w:start w:val="1"/>
      <w:numFmt w:val="decimal"/>
      <w:lvlText w:val="%4."/>
      <w:lvlJc w:val="left"/>
      <w:pPr>
        <w:tabs>
          <w:tab w:val="num" w:pos="3022"/>
        </w:tabs>
        <w:ind w:left="3022" w:hanging="360"/>
      </w:pPr>
    </w:lvl>
    <w:lvl w:ilvl="4" w:tplc="FFFFFFFF">
      <w:start w:val="1"/>
      <w:numFmt w:val="lowerLetter"/>
      <w:lvlText w:val="%5."/>
      <w:lvlJc w:val="left"/>
      <w:pPr>
        <w:tabs>
          <w:tab w:val="num" w:pos="3742"/>
        </w:tabs>
        <w:ind w:left="3742" w:hanging="360"/>
      </w:pPr>
    </w:lvl>
    <w:lvl w:ilvl="5" w:tplc="FFFFFFFF">
      <w:start w:val="1"/>
      <w:numFmt w:val="lowerRoman"/>
      <w:lvlText w:val="%6."/>
      <w:lvlJc w:val="right"/>
      <w:pPr>
        <w:tabs>
          <w:tab w:val="num" w:pos="4462"/>
        </w:tabs>
        <w:ind w:left="4462" w:hanging="180"/>
      </w:pPr>
    </w:lvl>
    <w:lvl w:ilvl="6" w:tplc="FFFFFFFF">
      <w:start w:val="1"/>
      <w:numFmt w:val="decimal"/>
      <w:lvlText w:val="%7."/>
      <w:lvlJc w:val="left"/>
      <w:pPr>
        <w:tabs>
          <w:tab w:val="num" w:pos="5182"/>
        </w:tabs>
        <w:ind w:left="5182" w:hanging="360"/>
      </w:pPr>
    </w:lvl>
    <w:lvl w:ilvl="7" w:tplc="FFFFFFFF">
      <w:start w:val="1"/>
      <w:numFmt w:val="lowerLetter"/>
      <w:lvlText w:val="%8."/>
      <w:lvlJc w:val="left"/>
      <w:pPr>
        <w:tabs>
          <w:tab w:val="num" w:pos="5902"/>
        </w:tabs>
        <w:ind w:left="5902" w:hanging="360"/>
      </w:pPr>
    </w:lvl>
    <w:lvl w:ilvl="8" w:tplc="FFFFFFFF">
      <w:start w:val="1"/>
      <w:numFmt w:val="lowerRoman"/>
      <w:lvlText w:val="%9."/>
      <w:lvlJc w:val="right"/>
      <w:pPr>
        <w:tabs>
          <w:tab w:val="num" w:pos="6622"/>
        </w:tabs>
        <w:ind w:left="6622" w:hanging="180"/>
      </w:pPr>
    </w:lvl>
  </w:abstractNum>
  <w:abstractNum w:abstractNumId="5">
    <w:nsid w:val="202E2E8D"/>
    <w:multiLevelType w:val="multilevel"/>
    <w:tmpl w:val="056A10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CF414A4"/>
    <w:multiLevelType w:val="hybridMultilevel"/>
    <w:tmpl w:val="0EECD5E2"/>
    <w:lvl w:ilvl="0" w:tplc="041B000D">
      <w:start w:val="1"/>
      <w:numFmt w:val="bullet"/>
      <w:lvlText w:val=""/>
      <w:lvlJc w:val="left"/>
      <w:pPr>
        <w:ind w:left="720" w:hanging="360"/>
      </w:pPr>
      <w:rPr>
        <w:rFonts w:ascii="Wingdings" w:hAnsi="Wingdings" w:cs="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7">
    <w:nsid w:val="49C253A7"/>
    <w:multiLevelType w:val="hybridMultilevel"/>
    <w:tmpl w:val="D9985C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55015370"/>
    <w:multiLevelType w:val="multilevel"/>
    <w:tmpl w:val="8C0C3A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5D275EF4"/>
    <w:multiLevelType w:val="hybridMultilevel"/>
    <w:tmpl w:val="F64A2D34"/>
    <w:lvl w:ilvl="0" w:tplc="041B000D">
      <w:start w:val="1"/>
      <w:numFmt w:val="bullet"/>
      <w:lvlText w:val=""/>
      <w:lvlJc w:val="left"/>
      <w:pPr>
        <w:ind w:left="720" w:hanging="360"/>
      </w:pPr>
      <w:rPr>
        <w:rFonts w:ascii="Wingdings" w:hAnsi="Wingdings" w:cs="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num w:numId="1">
    <w:abstractNumId w:val="5"/>
  </w:num>
  <w:num w:numId="2">
    <w:abstractNumId w:val="3"/>
  </w:num>
  <w:num w:numId="3">
    <w:abstractNumId w:val="8"/>
  </w:num>
  <w:num w:numId="4">
    <w:abstractNumId w:val="1"/>
  </w:num>
  <w:num w:numId="5">
    <w:abstractNumId w:val="7"/>
  </w:num>
  <w:num w:numId="6">
    <w:abstractNumId w:val="0"/>
  </w:num>
  <w:num w:numId="7">
    <w:abstractNumId w:val="2"/>
  </w:num>
  <w:num w:numId="8">
    <w:abstractNumId w:val="9"/>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5814"/>
    <w:rsid w:val="00000BEB"/>
    <w:rsid w:val="00027751"/>
    <w:rsid w:val="0006733A"/>
    <w:rsid w:val="000D09A1"/>
    <w:rsid w:val="000D13CE"/>
    <w:rsid w:val="000F7150"/>
    <w:rsid w:val="00112B1F"/>
    <w:rsid w:val="00113FB6"/>
    <w:rsid w:val="00160292"/>
    <w:rsid w:val="0016619F"/>
    <w:rsid w:val="001844B6"/>
    <w:rsid w:val="0019385F"/>
    <w:rsid w:val="001A1815"/>
    <w:rsid w:val="001B0ABA"/>
    <w:rsid w:val="001B6F54"/>
    <w:rsid w:val="001C2F89"/>
    <w:rsid w:val="001D15AC"/>
    <w:rsid w:val="001D25FA"/>
    <w:rsid w:val="001F6075"/>
    <w:rsid w:val="00205C92"/>
    <w:rsid w:val="002062F3"/>
    <w:rsid w:val="00211F44"/>
    <w:rsid w:val="00214BAB"/>
    <w:rsid w:val="00216EAA"/>
    <w:rsid w:val="002200D0"/>
    <w:rsid w:val="002241B2"/>
    <w:rsid w:val="002535CB"/>
    <w:rsid w:val="002638DD"/>
    <w:rsid w:val="002B1CF4"/>
    <w:rsid w:val="002D6FAD"/>
    <w:rsid w:val="002E45D5"/>
    <w:rsid w:val="002F479A"/>
    <w:rsid w:val="002F6422"/>
    <w:rsid w:val="0032761D"/>
    <w:rsid w:val="00330DD0"/>
    <w:rsid w:val="003470B3"/>
    <w:rsid w:val="003A33B1"/>
    <w:rsid w:val="003C46F6"/>
    <w:rsid w:val="003C59B6"/>
    <w:rsid w:val="003C6AAB"/>
    <w:rsid w:val="003D464C"/>
    <w:rsid w:val="003D534A"/>
    <w:rsid w:val="004033BD"/>
    <w:rsid w:val="00405C8B"/>
    <w:rsid w:val="00417DA4"/>
    <w:rsid w:val="0043268B"/>
    <w:rsid w:val="00444805"/>
    <w:rsid w:val="00445243"/>
    <w:rsid w:val="00452BEA"/>
    <w:rsid w:val="00456AB8"/>
    <w:rsid w:val="004766D8"/>
    <w:rsid w:val="004809C0"/>
    <w:rsid w:val="004938FD"/>
    <w:rsid w:val="004D46F0"/>
    <w:rsid w:val="004D7A22"/>
    <w:rsid w:val="004F66C2"/>
    <w:rsid w:val="005044EF"/>
    <w:rsid w:val="00515B4A"/>
    <w:rsid w:val="00532F8C"/>
    <w:rsid w:val="00555819"/>
    <w:rsid w:val="0057213A"/>
    <w:rsid w:val="0058066C"/>
    <w:rsid w:val="005A5C8C"/>
    <w:rsid w:val="005A64BB"/>
    <w:rsid w:val="005B3A3B"/>
    <w:rsid w:val="005D6F68"/>
    <w:rsid w:val="005E7F54"/>
    <w:rsid w:val="0061160C"/>
    <w:rsid w:val="00612DBB"/>
    <w:rsid w:val="006132D5"/>
    <w:rsid w:val="00613817"/>
    <w:rsid w:val="00615A79"/>
    <w:rsid w:val="00641271"/>
    <w:rsid w:val="0064151E"/>
    <w:rsid w:val="00651141"/>
    <w:rsid w:val="00662DDE"/>
    <w:rsid w:val="00673ED7"/>
    <w:rsid w:val="00674AFE"/>
    <w:rsid w:val="006803A2"/>
    <w:rsid w:val="00691A81"/>
    <w:rsid w:val="0069307C"/>
    <w:rsid w:val="00693317"/>
    <w:rsid w:val="006A1E53"/>
    <w:rsid w:val="006A5106"/>
    <w:rsid w:val="006A5814"/>
    <w:rsid w:val="006C2F3B"/>
    <w:rsid w:val="006F58FF"/>
    <w:rsid w:val="0070218C"/>
    <w:rsid w:val="0072605A"/>
    <w:rsid w:val="00753FAF"/>
    <w:rsid w:val="007564E5"/>
    <w:rsid w:val="00757C09"/>
    <w:rsid w:val="00763474"/>
    <w:rsid w:val="00785504"/>
    <w:rsid w:val="007B1882"/>
    <w:rsid w:val="007B209D"/>
    <w:rsid w:val="007B6F55"/>
    <w:rsid w:val="007C4DEB"/>
    <w:rsid w:val="007D3F43"/>
    <w:rsid w:val="007D4EB8"/>
    <w:rsid w:val="007E3A5D"/>
    <w:rsid w:val="007F6B26"/>
    <w:rsid w:val="00800824"/>
    <w:rsid w:val="00817B38"/>
    <w:rsid w:val="008370B8"/>
    <w:rsid w:val="00840A9D"/>
    <w:rsid w:val="00842DB1"/>
    <w:rsid w:val="0084439B"/>
    <w:rsid w:val="00863C38"/>
    <w:rsid w:val="008A3244"/>
    <w:rsid w:val="008A7BD2"/>
    <w:rsid w:val="008F2986"/>
    <w:rsid w:val="00906E01"/>
    <w:rsid w:val="009318D7"/>
    <w:rsid w:val="00941301"/>
    <w:rsid w:val="00944AD1"/>
    <w:rsid w:val="00953C0C"/>
    <w:rsid w:val="00970EFD"/>
    <w:rsid w:val="00982CE6"/>
    <w:rsid w:val="009833A3"/>
    <w:rsid w:val="00991FB9"/>
    <w:rsid w:val="009A7AB0"/>
    <w:rsid w:val="009B1F73"/>
    <w:rsid w:val="009D050D"/>
    <w:rsid w:val="009D16A8"/>
    <w:rsid w:val="009E4C53"/>
    <w:rsid w:val="00A2128B"/>
    <w:rsid w:val="00A27174"/>
    <w:rsid w:val="00A437EE"/>
    <w:rsid w:val="00A456E2"/>
    <w:rsid w:val="00A61BFB"/>
    <w:rsid w:val="00A875D2"/>
    <w:rsid w:val="00AA371D"/>
    <w:rsid w:val="00AB37F3"/>
    <w:rsid w:val="00AD1124"/>
    <w:rsid w:val="00AE5A59"/>
    <w:rsid w:val="00AF3AB4"/>
    <w:rsid w:val="00B12D9A"/>
    <w:rsid w:val="00B17191"/>
    <w:rsid w:val="00B20488"/>
    <w:rsid w:val="00B359D5"/>
    <w:rsid w:val="00B373CF"/>
    <w:rsid w:val="00B40162"/>
    <w:rsid w:val="00B42D18"/>
    <w:rsid w:val="00B4523F"/>
    <w:rsid w:val="00B53F53"/>
    <w:rsid w:val="00B5440B"/>
    <w:rsid w:val="00B614DA"/>
    <w:rsid w:val="00B62834"/>
    <w:rsid w:val="00B71613"/>
    <w:rsid w:val="00B95D64"/>
    <w:rsid w:val="00BA5CA5"/>
    <w:rsid w:val="00BB2E99"/>
    <w:rsid w:val="00BD534E"/>
    <w:rsid w:val="00BD70AA"/>
    <w:rsid w:val="00BE609E"/>
    <w:rsid w:val="00C21BAD"/>
    <w:rsid w:val="00C32B99"/>
    <w:rsid w:val="00C341C6"/>
    <w:rsid w:val="00C5444F"/>
    <w:rsid w:val="00C628F6"/>
    <w:rsid w:val="00C9661D"/>
    <w:rsid w:val="00CA3255"/>
    <w:rsid w:val="00CC2483"/>
    <w:rsid w:val="00CE0106"/>
    <w:rsid w:val="00CE6D41"/>
    <w:rsid w:val="00CF5CC4"/>
    <w:rsid w:val="00D03DEC"/>
    <w:rsid w:val="00D16304"/>
    <w:rsid w:val="00D21C41"/>
    <w:rsid w:val="00D22222"/>
    <w:rsid w:val="00D63A74"/>
    <w:rsid w:val="00D80134"/>
    <w:rsid w:val="00D80F48"/>
    <w:rsid w:val="00D933B5"/>
    <w:rsid w:val="00DB544B"/>
    <w:rsid w:val="00DD7328"/>
    <w:rsid w:val="00E02181"/>
    <w:rsid w:val="00E1606B"/>
    <w:rsid w:val="00E431C5"/>
    <w:rsid w:val="00E51630"/>
    <w:rsid w:val="00E56B32"/>
    <w:rsid w:val="00E56CBF"/>
    <w:rsid w:val="00E66DD2"/>
    <w:rsid w:val="00E848D7"/>
    <w:rsid w:val="00E96D66"/>
    <w:rsid w:val="00EA5E58"/>
    <w:rsid w:val="00EA7078"/>
    <w:rsid w:val="00EC5430"/>
    <w:rsid w:val="00ED21A6"/>
    <w:rsid w:val="00ED3E6E"/>
    <w:rsid w:val="00EE2BFF"/>
    <w:rsid w:val="00EF6EC6"/>
    <w:rsid w:val="00F3163B"/>
    <w:rsid w:val="00F4120B"/>
    <w:rsid w:val="00F43C5D"/>
    <w:rsid w:val="00F64EF7"/>
    <w:rsid w:val="00F661ED"/>
    <w:rsid w:val="00F7448E"/>
    <w:rsid w:val="00F8165C"/>
    <w:rsid w:val="00F87045"/>
    <w:rsid w:val="00F9259B"/>
    <w:rsid w:val="00F970A5"/>
    <w:rsid w:val="00FA4B56"/>
    <w:rsid w:val="00FA75EF"/>
    <w:rsid w:val="00FB78DF"/>
    <w:rsid w:val="00FC0AB2"/>
    <w:rsid w:val="00FC2104"/>
    <w:rsid w:val="00FC6E86"/>
    <w:rsid w:val="00FD1611"/>
    <w:rsid w:val="00FF5486"/>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E86"/>
    <w:pPr>
      <w:suppressAutoHyphens/>
      <w:spacing w:after="200" w:line="480" w:lineRule="auto"/>
      <w:jc w:val="both"/>
    </w:pPr>
    <w:rPr>
      <w:rFonts w:ascii="Arial" w:hAnsi="Arial" w:cs="Arial"/>
      <w:sz w:val="24"/>
      <w:szCs w:val="24"/>
      <w:lang w:val="cs-CZ" w:eastAsia="cs-CZ"/>
    </w:rPr>
  </w:style>
  <w:style w:type="paragraph" w:styleId="Heading1">
    <w:name w:val="heading 1"/>
    <w:basedOn w:val="Normal"/>
    <w:link w:val="Heading1Char"/>
    <w:uiPriority w:val="99"/>
    <w:qFormat/>
    <w:rsid w:val="00FC6E86"/>
    <w:pPr>
      <w:numPr>
        <w:numId w:val="2"/>
      </w:numPr>
      <w:spacing w:before="480" w:after="240" w:line="276" w:lineRule="auto"/>
      <w:ind w:left="357" w:hanging="357"/>
      <w:outlineLvl w:val="0"/>
    </w:pPr>
    <w:rPr>
      <w:rFonts w:ascii="Calibri" w:hAnsi="Calibri" w:cs="Calibri"/>
      <w:b/>
      <w:bCs/>
      <w:sz w:val="28"/>
      <w:szCs w:val="28"/>
    </w:rPr>
  </w:style>
  <w:style w:type="paragraph" w:styleId="Heading2">
    <w:name w:val="heading 2"/>
    <w:basedOn w:val="Normal"/>
    <w:link w:val="Heading2Char"/>
    <w:uiPriority w:val="99"/>
    <w:qFormat/>
    <w:rsid w:val="00FC6E86"/>
    <w:pPr>
      <w:spacing w:before="240" w:after="60"/>
      <w:outlineLvl w:val="1"/>
    </w:pPr>
    <w:rPr>
      <w:rFonts w:ascii="Cambria" w:hAnsi="Cambria" w:cs="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7328"/>
    <w:rPr>
      <w:rFonts w:ascii="Cambria" w:hAnsi="Cambria" w:cs="Cambria"/>
      <w:b/>
      <w:bCs/>
      <w:kern w:val="32"/>
      <w:sz w:val="32"/>
      <w:szCs w:val="32"/>
      <w:lang w:val="cs-CZ" w:eastAsia="cs-CZ"/>
    </w:rPr>
  </w:style>
  <w:style w:type="character" w:customStyle="1" w:styleId="Heading2Char">
    <w:name w:val="Heading 2 Char"/>
    <w:basedOn w:val="DefaultParagraphFont"/>
    <w:link w:val="Heading2"/>
    <w:uiPriority w:val="99"/>
    <w:semiHidden/>
    <w:locked/>
    <w:rsid w:val="00DD7328"/>
    <w:rPr>
      <w:rFonts w:ascii="Cambria" w:hAnsi="Cambria" w:cs="Cambria"/>
      <w:b/>
      <w:bCs/>
      <w:i/>
      <w:iCs/>
      <w:sz w:val="28"/>
      <w:szCs w:val="28"/>
      <w:lang w:val="cs-CZ" w:eastAsia="cs-CZ"/>
    </w:rPr>
  </w:style>
  <w:style w:type="character" w:customStyle="1" w:styleId="Rejstk61">
    <w:name w:val="Rejstřík 61"/>
    <w:uiPriority w:val="99"/>
    <w:rsid w:val="00FC6E86"/>
    <w:rPr>
      <w:rFonts w:cs="Times New Roman"/>
      <w:color w:val="0000FF"/>
      <w:u w:val="single"/>
    </w:rPr>
  </w:style>
  <w:style w:type="character" w:customStyle="1" w:styleId="ZhlavChar">
    <w:name w:val="Záhlaví Char"/>
    <w:uiPriority w:val="99"/>
    <w:rsid w:val="00FC6E86"/>
    <w:rPr>
      <w:rFonts w:ascii="Arial" w:hAnsi="Arial" w:cs="Arial"/>
      <w:sz w:val="24"/>
      <w:szCs w:val="24"/>
    </w:rPr>
  </w:style>
  <w:style w:type="character" w:customStyle="1" w:styleId="ZpatChar">
    <w:name w:val="Zápatí Char"/>
    <w:uiPriority w:val="99"/>
    <w:rsid w:val="00FC6E86"/>
    <w:rPr>
      <w:rFonts w:ascii="Arial" w:hAnsi="Arial" w:cs="Arial"/>
      <w:sz w:val="24"/>
      <w:szCs w:val="24"/>
    </w:rPr>
  </w:style>
  <w:style w:type="character" w:customStyle="1" w:styleId="Nadpis1Char">
    <w:name w:val="Nadpis 1 Char"/>
    <w:uiPriority w:val="99"/>
    <w:rsid w:val="00FC6E86"/>
    <w:rPr>
      <w:rFonts w:eastAsia="Times New Roman" w:cs="Times New Roman"/>
      <w:b/>
      <w:bCs/>
      <w:sz w:val="28"/>
      <w:szCs w:val="28"/>
    </w:rPr>
  </w:style>
  <w:style w:type="character" w:customStyle="1" w:styleId="Nadpis2Char">
    <w:name w:val="Nadpis 2 Char"/>
    <w:uiPriority w:val="99"/>
    <w:rsid w:val="00FC6E86"/>
    <w:rPr>
      <w:rFonts w:ascii="Cambria" w:hAnsi="Cambria" w:cs="Cambria"/>
      <w:b/>
      <w:bCs/>
      <w:i/>
      <w:iCs/>
      <w:sz w:val="28"/>
      <w:szCs w:val="28"/>
    </w:rPr>
  </w:style>
  <w:style w:type="character" w:customStyle="1" w:styleId="hps">
    <w:name w:val="hps"/>
    <w:basedOn w:val="DefaultParagraphFont"/>
    <w:uiPriority w:val="99"/>
    <w:rsid w:val="00FC6E86"/>
    <w:rPr>
      <w:rFonts w:cs="Times New Roman"/>
    </w:rPr>
  </w:style>
  <w:style w:type="character" w:customStyle="1" w:styleId="Contents6">
    <w:name w:val="Contents 6"/>
    <w:uiPriority w:val="99"/>
    <w:rsid w:val="00FC6E86"/>
    <w:rPr>
      <w:rFonts w:cs="Times New Roman"/>
      <w:sz w:val="16"/>
      <w:szCs w:val="16"/>
    </w:rPr>
  </w:style>
  <w:style w:type="character" w:customStyle="1" w:styleId="TextkomenteChar">
    <w:name w:val="Text komentáře Char"/>
    <w:uiPriority w:val="99"/>
    <w:rsid w:val="00FC6E86"/>
    <w:rPr>
      <w:rFonts w:cs="Times New Roman"/>
    </w:rPr>
  </w:style>
  <w:style w:type="character" w:customStyle="1" w:styleId="TextbublinyChar">
    <w:name w:val="Text bubliny Char"/>
    <w:uiPriority w:val="99"/>
    <w:rsid w:val="00FC6E86"/>
    <w:rPr>
      <w:rFonts w:ascii="Tahoma" w:hAnsi="Tahoma" w:cs="Tahoma"/>
      <w:sz w:val="16"/>
      <w:szCs w:val="16"/>
    </w:rPr>
  </w:style>
  <w:style w:type="character" w:customStyle="1" w:styleId="Textkomente1">
    <w:name w:val="Text komentáře1"/>
    <w:uiPriority w:val="99"/>
    <w:rsid w:val="00FC6E86"/>
    <w:rPr>
      <w:rFonts w:cs="Times New Roman"/>
    </w:rPr>
  </w:style>
  <w:style w:type="character" w:customStyle="1" w:styleId="TextbublinyChar1">
    <w:name w:val="Text bubliny Char1"/>
    <w:basedOn w:val="DefaultParagraphFont"/>
    <w:uiPriority w:val="99"/>
    <w:rsid w:val="00FC6E86"/>
    <w:rPr>
      <w:rFonts w:ascii="Segoe UI" w:hAnsi="Segoe UI" w:cs="Segoe UI"/>
      <w:sz w:val="18"/>
      <w:szCs w:val="18"/>
    </w:rPr>
  </w:style>
  <w:style w:type="character" w:customStyle="1" w:styleId="ListLabel1">
    <w:name w:val="ListLabel 1"/>
    <w:uiPriority w:val="99"/>
    <w:rsid w:val="00FC6E86"/>
    <w:rPr>
      <w:rFonts w:cs="Times New Roman"/>
    </w:rPr>
  </w:style>
  <w:style w:type="character" w:customStyle="1" w:styleId="ListLabel2">
    <w:name w:val="ListLabel 2"/>
    <w:uiPriority w:val="99"/>
    <w:rsid w:val="00FC6E86"/>
    <w:rPr>
      <w:rFonts w:eastAsia="Times New Roman" w:cs="Times New Roman"/>
    </w:rPr>
  </w:style>
  <w:style w:type="character" w:customStyle="1" w:styleId="ListLabel3">
    <w:name w:val="ListLabel 3"/>
    <w:uiPriority w:val="99"/>
    <w:rsid w:val="00FC6E86"/>
    <w:rPr>
      <w:rFonts w:eastAsia="Times New Roman" w:cs="Times New Roman"/>
    </w:rPr>
  </w:style>
  <w:style w:type="character" w:customStyle="1" w:styleId="Internetovodkaz">
    <w:name w:val="Internetový odkaz"/>
    <w:uiPriority w:val="99"/>
    <w:rsid w:val="00FC6E86"/>
    <w:rPr>
      <w:rFonts w:cs="Times New Roman"/>
      <w:color w:val="000080"/>
      <w:u w:val="single"/>
    </w:rPr>
  </w:style>
  <w:style w:type="paragraph" w:customStyle="1" w:styleId="Nadpis">
    <w:name w:val="Nadpis"/>
    <w:basedOn w:val="Normal"/>
    <w:next w:val="Tlotextu"/>
    <w:uiPriority w:val="99"/>
    <w:rsid w:val="00FC6E86"/>
    <w:pPr>
      <w:keepNext/>
      <w:spacing w:before="240" w:after="120"/>
    </w:pPr>
    <w:rPr>
      <w:rFonts w:eastAsia="Microsoft YaHei"/>
      <w:sz w:val="28"/>
      <w:szCs w:val="28"/>
    </w:rPr>
  </w:style>
  <w:style w:type="paragraph" w:customStyle="1" w:styleId="Tlotextu">
    <w:name w:val="Tělo textu"/>
    <w:basedOn w:val="Normal"/>
    <w:uiPriority w:val="99"/>
    <w:rsid w:val="00FC6E86"/>
    <w:pPr>
      <w:spacing w:after="120"/>
    </w:pPr>
  </w:style>
  <w:style w:type="paragraph" w:styleId="List">
    <w:name w:val="List"/>
    <w:basedOn w:val="Tlotextu"/>
    <w:uiPriority w:val="99"/>
    <w:rsid w:val="00FC6E86"/>
  </w:style>
  <w:style w:type="paragraph" w:customStyle="1" w:styleId="Popisek">
    <w:name w:val="Popisek"/>
    <w:basedOn w:val="Normal"/>
    <w:uiPriority w:val="99"/>
    <w:rsid w:val="00FC6E86"/>
    <w:pPr>
      <w:suppressLineNumbers/>
      <w:spacing w:before="120" w:after="120"/>
    </w:pPr>
    <w:rPr>
      <w:i/>
      <w:iCs/>
    </w:rPr>
  </w:style>
  <w:style w:type="paragraph" w:customStyle="1" w:styleId="Rejstk">
    <w:name w:val="Rejstřík"/>
    <w:basedOn w:val="Normal"/>
    <w:uiPriority w:val="99"/>
    <w:rsid w:val="00FC6E86"/>
    <w:pPr>
      <w:suppressLineNumbers/>
    </w:pPr>
  </w:style>
  <w:style w:type="paragraph" w:styleId="Index7">
    <w:name w:val="index 7"/>
    <w:basedOn w:val="Normal"/>
    <w:autoRedefine/>
    <w:uiPriority w:val="99"/>
    <w:semiHidden/>
    <w:rsid w:val="00FC6E86"/>
    <w:pPr>
      <w:tabs>
        <w:tab w:val="center" w:pos="4536"/>
        <w:tab w:val="right" w:pos="9072"/>
      </w:tabs>
      <w:spacing w:after="0" w:line="100" w:lineRule="atLeast"/>
    </w:pPr>
  </w:style>
  <w:style w:type="paragraph" w:styleId="Index9">
    <w:name w:val="index 9"/>
    <w:basedOn w:val="Normal"/>
    <w:autoRedefine/>
    <w:uiPriority w:val="99"/>
    <w:semiHidden/>
    <w:rsid w:val="00FC6E86"/>
    <w:pPr>
      <w:tabs>
        <w:tab w:val="center" w:pos="4536"/>
        <w:tab w:val="right" w:pos="9072"/>
      </w:tabs>
      <w:spacing w:after="0" w:line="100" w:lineRule="atLeast"/>
    </w:pPr>
  </w:style>
  <w:style w:type="paragraph" w:styleId="TOC2">
    <w:name w:val="toc 2"/>
    <w:basedOn w:val="Normal"/>
    <w:autoRedefine/>
    <w:uiPriority w:val="99"/>
    <w:semiHidden/>
    <w:rsid w:val="00FC6E86"/>
    <w:pPr>
      <w:spacing w:line="100" w:lineRule="atLeast"/>
    </w:pPr>
    <w:rPr>
      <w:rFonts w:ascii="Calibri" w:hAnsi="Calibri" w:cs="Calibri"/>
      <w:sz w:val="18"/>
      <w:szCs w:val="18"/>
    </w:rPr>
  </w:style>
  <w:style w:type="paragraph" w:styleId="TOC7">
    <w:name w:val="toc 7"/>
    <w:basedOn w:val="Normal"/>
    <w:autoRedefine/>
    <w:uiPriority w:val="99"/>
    <w:semiHidden/>
    <w:rsid w:val="00FC6E86"/>
    <w:pPr>
      <w:spacing w:line="100" w:lineRule="atLeast"/>
    </w:pPr>
    <w:rPr>
      <w:rFonts w:ascii="Calibri" w:hAnsi="Calibri" w:cs="Calibri"/>
      <w:sz w:val="20"/>
      <w:szCs w:val="20"/>
    </w:rPr>
  </w:style>
  <w:style w:type="paragraph" w:styleId="TOC9">
    <w:name w:val="toc 9"/>
    <w:basedOn w:val="Normal"/>
    <w:autoRedefine/>
    <w:uiPriority w:val="99"/>
    <w:semiHidden/>
    <w:rsid w:val="00FC6E86"/>
    <w:pPr>
      <w:spacing w:after="0" w:line="100" w:lineRule="atLeast"/>
    </w:pPr>
    <w:rPr>
      <w:rFonts w:ascii="Tahoma" w:hAnsi="Tahoma" w:cs="Tahoma"/>
      <w:sz w:val="16"/>
      <w:szCs w:val="16"/>
    </w:rPr>
  </w:style>
  <w:style w:type="paragraph" w:styleId="FootnoteText">
    <w:name w:val="footnote text"/>
    <w:basedOn w:val="Normal"/>
    <w:link w:val="FootnoteTextChar"/>
    <w:uiPriority w:val="99"/>
    <w:semiHidden/>
    <w:rsid w:val="00FC6E86"/>
    <w:pPr>
      <w:spacing w:line="276" w:lineRule="auto"/>
      <w:ind w:left="720"/>
    </w:pPr>
    <w:rPr>
      <w:rFonts w:ascii="Calibri" w:hAnsi="Calibri" w:cs="Calibri"/>
    </w:rPr>
  </w:style>
  <w:style w:type="character" w:customStyle="1" w:styleId="FootnoteTextChar">
    <w:name w:val="Footnote Text Char"/>
    <w:basedOn w:val="DefaultParagraphFont"/>
    <w:link w:val="FootnoteText"/>
    <w:uiPriority w:val="99"/>
    <w:semiHidden/>
    <w:locked/>
    <w:rsid w:val="00DD7328"/>
    <w:rPr>
      <w:rFonts w:ascii="Arial" w:hAnsi="Arial" w:cs="Arial"/>
      <w:sz w:val="20"/>
      <w:szCs w:val="20"/>
      <w:lang w:val="cs-CZ" w:eastAsia="cs-CZ"/>
    </w:rPr>
  </w:style>
  <w:style w:type="paragraph" w:styleId="Header">
    <w:name w:val="header"/>
    <w:basedOn w:val="Normal"/>
    <w:link w:val="HeaderChar"/>
    <w:uiPriority w:val="99"/>
    <w:rsid w:val="00FC6E86"/>
    <w:pPr>
      <w:spacing w:before="280" w:after="280" w:line="100" w:lineRule="atLeast"/>
      <w:jc w:val="left"/>
    </w:pPr>
  </w:style>
  <w:style w:type="character" w:customStyle="1" w:styleId="HeaderChar">
    <w:name w:val="Header Char"/>
    <w:basedOn w:val="DefaultParagraphFont"/>
    <w:link w:val="Header"/>
    <w:uiPriority w:val="99"/>
    <w:semiHidden/>
    <w:locked/>
    <w:rsid w:val="00DD7328"/>
    <w:rPr>
      <w:rFonts w:ascii="Arial" w:hAnsi="Arial" w:cs="Arial"/>
      <w:sz w:val="24"/>
      <w:szCs w:val="24"/>
      <w:lang w:val="cs-CZ" w:eastAsia="cs-CZ"/>
    </w:rPr>
  </w:style>
  <w:style w:type="paragraph" w:styleId="BalloonText">
    <w:name w:val="Balloon Text"/>
    <w:basedOn w:val="Normal"/>
    <w:link w:val="BalloonTextChar"/>
    <w:uiPriority w:val="99"/>
    <w:semiHidden/>
    <w:rsid w:val="00FC6E86"/>
    <w:pPr>
      <w:spacing w:after="0" w:line="100" w:lineRule="atLeast"/>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D7328"/>
    <w:rPr>
      <w:rFonts w:ascii="Times New Roman" w:hAnsi="Times New Roman" w:cs="Times New Roman"/>
      <w:sz w:val="2"/>
      <w:szCs w:val="2"/>
      <w:lang w:val="cs-CZ" w:eastAsia="cs-CZ"/>
    </w:rPr>
  </w:style>
  <w:style w:type="paragraph" w:styleId="Footer">
    <w:name w:val="footer"/>
    <w:basedOn w:val="Normal"/>
    <w:link w:val="FooterChar"/>
    <w:uiPriority w:val="99"/>
    <w:rsid w:val="00FC6E86"/>
  </w:style>
  <w:style w:type="character" w:customStyle="1" w:styleId="FooterChar">
    <w:name w:val="Footer Char"/>
    <w:basedOn w:val="DefaultParagraphFont"/>
    <w:link w:val="Footer"/>
    <w:uiPriority w:val="99"/>
    <w:semiHidden/>
    <w:locked/>
    <w:rsid w:val="00DD7328"/>
    <w:rPr>
      <w:rFonts w:ascii="Arial" w:hAnsi="Arial" w:cs="Arial"/>
      <w:sz w:val="24"/>
      <w:szCs w:val="24"/>
      <w:lang w:val="cs-CZ" w:eastAsia="cs-CZ"/>
    </w:rPr>
  </w:style>
  <w:style w:type="table" w:styleId="TableGrid">
    <w:name w:val="Table Grid"/>
    <w:basedOn w:val="TableNormal"/>
    <w:uiPriority w:val="99"/>
    <w:rsid w:val="00ED3E6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ED3E6E"/>
    <w:pPr>
      <w:suppressAutoHyphens/>
      <w:jc w:val="both"/>
    </w:pPr>
    <w:rPr>
      <w:rFonts w:ascii="Arial" w:hAnsi="Arial" w:cs="Arial"/>
      <w:sz w:val="24"/>
      <w:szCs w:val="24"/>
      <w:lang w:val="cs-CZ" w:eastAsia="cs-CZ"/>
    </w:rPr>
  </w:style>
  <w:style w:type="character" w:styleId="PlaceholderText">
    <w:name w:val="Placeholder Text"/>
    <w:basedOn w:val="DefaultParagraphFont"/>
    <w:uiPriority w:val="99"/>
    <w:semiHidden/>
    <w:rsid w:val="0032761D"/>
    <w:rPr>
      <w:rFonts w:cs="Times New Roman"/>
      <w:color w:val="808080"/>
    </w:rPr>
  </w:style>
  <w:style w:type="character" w:styleId="LineNumber">
    <w:name w:val="line number"/>
    <w:basedOn w:val="DefaultParagraphFont"/>
    <w:uiPriority w:val="99"/>
    <w:semiHidden/>
    <w:rsid w:val="001C2F89"/>
    <w:rPr>
      <w:rFonts w:cs="Times New Roman"/>
    </w:rPr>
  </w:style>
  <w:style w:type="paragraph" w:styleId="ListParagraph">
    <w:name w:val="List Paragraph"/>
    <w:basedOn w:val="Normal"/>
    <w:uiPriority w:val="99"/>
    <w:qFormat/>
    <w:rsid w:val="00E02181"/>
    <w:pPr>
      <w:ind w:left="720"/>
    </w:pPr>
  </w:style>
  <w:style w:type="character" w:customStyle="1" w:styleId="5yl5">
    <w:name w:val="_5yl5"/>
    <w:basedOn w:val="DefaultParagraphFont"/>
    <w:uiPriority w:val="99"/>
    <w:rsid w:val="007E3A5D"/>
    <w:rPr>
      <w:rFonts w:cs="Times New Roman"/>
    </w:rPr>
  </w:style>
  <w:style w:type="paragraph" w:styleId="Caption">
    <w:name w:val="caption"/>
    <w:basedOn w:val="Normal"/>
    <w:next w:val="Normal"/>
    <w:uiPriority w:val="99"/>
    <w:qFormat/>
    <w:locked/>
    <w:rsid w:val="00405C8B"/>
    <w:pPr>
      <w:suppressAutoHyphens w:val="0"/>
      <w:spacing w:before="120" w:after="120" w:line="240" w:lineRule="auto"/>
      <w:jc w:val="center"/>
    </w:pPr>
    <w:rPr>
      <w:sz w:val="22"/>
      <w:szCs w:val="22"/>
      <w:lang w:val="en-US" w:eastAsia="en-US"/>
    </w:rPr>
  </w:style>
  <w:style w:type="paragraph" w:styleId="BodyText2">
    <w:name w:val="Body Text 2"/>
    <w:basedOn w:val="Normal"/>
    <w:link w:val="BodyText2Char"/>
    <w:uiPriority w:val="99"/>
    <w:rsid w:val="00DB544B"/>
    <w:pPr>
      <w:suppressAutoHyphens w:val="0"/>
      <w:spacing w:after="0" w:line="240" w:lineRule="auto"/>
    </w:pPr>
    <w:rPr>
      <w:lang w:val="en-US" w:eastAsia="en-US"/>
    </w:rPr>
  </w:style>
  <w:style w:type="character" w:customStyle="1" w:styleId="BodyText2Char">
    <w:name w:val="Body Text 2 Char"/>
    <w:basedOn w:val="DefaultParagraphFont"/>
    <w:link w:val="BodyText2"/>
    <w:uiPriority w:val="99"/>
    <w:semiHidden/>
    <w:locked/>
    <w:rsid w:val="00DB544B"/>
    <w:rPr>
      <w:rFonts w:cs="Times New Roman"/>
      <w:sz w:val="24"/>
      <w:szCs w:val="24"/>
      <w:lang w:val="en-US" w:eastAsia="en-US"/>
    </w:rPr>
  </w:style>
  <w:style w:type="paragraph" w:customStyle="1" w:styleId="Equation">
    <w:name w:val="Equation"/>
    <w:basedOn w:val="Normal"/>
    <w:next w:val="Normal"/>
    <w:uiPriority w:val="99"/>
    <w:rsid w:val="00F7448E"/>
    <w:pPr>
      <w:tabs>
        <w:tab w:val="center" w:pos="4536"/>
        <w:tab w:val="right" w:pos="9072"/>
      </w:tabs>
      <w:suppressAutoHyphens w:val="0"/>
      <w:spacing w:before="57" w:after="284" w:line="284" w:lineRule="exact"/>
    </w:pPr>
    <w:rPr>
      <w:sz w:val="22"/>
      <w:szCs w:val="22"/>
      <w:lang w:val="en-US" w:eastAsia="en-US"/>
    </w:rPr>
  </w:style>
  <w:style w:type="paragraph" w:customStyle="1" w:styleId="ReferencesList">
    <w:name w:val="ReferencesList"/>
    <w:basedOn w:val="Normal"/>
    <w:uiPriority w:val="99"/>
    <w:rsid w:val="0070218C"/>
    <w:pPr>
      <w:numPr>
        <w:numId w:val="10"/>
      </w:numPr>
      <w:suppressAutoHyphens w:val="0"/>
      <w:spacing w:after="113" w:line="240" w:lineRule="auto"/>
      <w:ind w:left="357"/>
    </w:pPr>
    <w:rPr>
      <w:sz w:val="22"/>
      <w:szCs w:val="22"/>
      <w:lang w:val="en-US" w:eastAsia="en-US"/>
    </w:rPr>
  </w:style>
  <w:style w:type="character" w:customStyle="1" w:styleId="shorttext">
    <w:name w:val="short_text"/>
    <w:basedOn w:val="DefaultParagraphFont"/>
    <w:uiPriority w:val="99"/>
    <w:rsid w:val="0070218C"/>
    <w:rPr>
      <w:rFonts w:cs="Times New Roman"/>
    </w:rPr>
  </w:style>
  <w:style w:type="character" w:styleId="Hyperlink">
    <w:name w:val="Hyperlink"/>
    <w:basedOn w:val="DefaultParagraphFont"/>
    <w:uiPriority w:val="99"/>
    <w:rsid w:val="00F43C5D"/>
    <w:rPr>
      <w:rFonts w:cs="Times New Roman"/>
      <w:color w:val="0000FF"/>
      <w:u w:val="single"/>
    </w:rPr>
  </w:style>
  <w:style w:type="paragraph" w:customStyle="1" w:styleId="AcknowledgeHeading">
    <w:name w:val="AcknowledgeHeading"/>
    <w:basedOn w:val="Heading2"/>
    <w:next w:val="Normal"/>
    <w:uiPriority w:val="99"/>
    <w:rsid w:val="002200D0"/>
    <w:pPr>
      <w:keepNext/>
      <w:suppressAutoHyphens w:val="0"/>
      <w:spacing w:before="340" w:after="227" w:line="284" w:lineRule="exact"/>
      <w:outlineLvl w:val="0"/>
    </w:pPr>
    <w:rPr>
      <w:rFonts w:ascii="Arial" w:hAnsi="Arial" w:cs="Arial"/>
      <w:i w:val="0"/>
      <w:iCs w:val="0"/>
      <w:sz w:val="22"/>
      <w:szCs w:val="22"/>
      <w:lang w:val="en-US" w:eastAsia="en-US"/>
    </w:rPr>
  </w:style>
  <w:style w:type="paragraph" w:styleId="NormalWeb">
    <w:name w:val="Normal (Web)"/>
    <w:basedOn w:val="Normal"/>
    <w:uiPriority w:val="99"/>
    <w:rsid w:val="00532F8C"/>
    <w:pPr>
      <w:suppressAutoHyphens w:val="0"/>
      <w:spacing w:before="100" w:beforeAutospacing="1" w:after="100" w:afterAutospacing="1" w:line="240" w:lineRule="auto"/>
      <w:jc w:val="left"/>
    </w:pPr>
    <w:rPr>
      <w:rFonts w:cs="Times New Roman"/>
      <w:lang w:val="sk-SK" w:eastAsia="sk-SK"/>
    </w:rPr>
  </w:style>
  <w:style w:type="character" w:customStyle="1" w:styleId="hpsatn">
    <w:name w:val="hps atn"/>
    <w:basedOn w:val="DefaultParagraphFont"/>
    <w:uiPriority w:val="99"/>
    <w:rsid w:val="001A1815"/>
    <w:rPr>
      <w:rFonts w:cs="Times New Roman"/>
    </w:rPr>
  </w:style>
</w:styles>
</file>

<file path=word/webSettings.xml><?xml version="1.0" encoding="utf-8"?>
<w:webSettings xmlns:r="http://schemas.openxmlformats.org/officeDocument/2006/relationships" xmlns:w="http://schemas.openxmlformats.org/wordprocessingml/2006/main">
  <w:divs>
    <w:div w:id="811483523">
      <w:marLeft w:val="0"/>
      <w:marRight w:val="0"/>
      <w:marTop w:val="0"/>
      <w:marBottom w:val="0"/>
      <w:divBdr>
        <w:top w:val="none" w:sz="0" w:space="0" w:color="auto"/>
        <w:left w:val="none" w:sz="0" w:space="0" w:color="auto"/>
        <w:bottom w:val="none" w:sz="0" w:space="0" w:color="auto"/>
        <w:right w:val="none" w:sz="0" w:space="0" w:color="auto"/>
      </w:divBdr>
      <w:divsChild>
        <w:div w:id="811483525">
          <w:marLeft w:val="0"/>
          <w:marRight w:val="0"/>
          <w:marTop w:val="0"/>
          <w:marBottom w:val="0"/>
          <w:divBdr>
            <w:top w:val="none" w:sz="0" w:space="0" w:color="auto"/>
            <w:left w:val="none" w:sz="0" w:space="0" w:color="auto"/>
            <w:bottom w:val="none" w:sz="0" w:space="0" w:color="auto"/>
            <w:right w:val="none" w:sz="0" w:space="0" w:color="auto"/>
          </w:divBdr>
        </w:div>
      </w:divsChild>
    </w:div>
    <w:div w:id="811483524">
      <w:marLeft w:val="0"/>
      <w:marRight w:val="0"/>
      <w:marTop w:val="0"/>
      <w:marBottom w:val="0"/>
      <w:divBdr>
        <w:top w:val="none" w:sz="0" w:space="0" w:color="auto"/>
        <w:left w:val="none" w:sz="0" w:space="0" w:color="auto"/>
        <w:bottom w:val="none" w:sz="0" w:space="0" w:color="auto"/>
        <w:right w:val="none" w:sz="0" w:space="0" w:color="auto"/>
      </w:divBdr>
    </w:div>
    <w:div w:id="811483527">
      <w:marLeft w:val="0"/>
      <w:marRight w:val="0"/>
      <w:marTop w:val="0"/>
      <w:marBottom w:val="0"/>
      <w:divBdr>
        <w:top w:val="none" w:sz="0" w:space="0" w:color="auto"/>
        <w:left w:val="none" w:sz="0" w:space="0" w:color="auto"/>
        <w:bottom w:val="none" w:sz="0" w:space="0" w:color="auto"/>
        <w:right w:val="none" w:sz="0" w:space="0" w:color="auto"/>
      </w:divBdr>
      <w:divsChild>
        <w:div w:id="811483526">
          <w:marLeft w:val="0"/>
          <w:marRight w:val="0"/>
          <w:marTop w:val="0"/>
          <w:marBottom w:val="0"/>
          <w:divBdr>
            <w:top w:val="none" w:sz="0" w:space="0" w:color="auto"/>
            <w:left w:val="none" w:sz="0" w:space="0" w:color="auto"/>
            <w:bottom w:val="none" w:sz="0" w:space="0" w:color="auto"/>
            <w:right w:val="none" w:sz="0" w:space="0" w:color="auto"/>
          </w:divBdr>
        </w:div>
      </w:divsChild>
    </w:div>
    <w:div w:id="811483528">
      <w:marLeft w:val="0"/>
      <w:marRight w:val="0"/>
      <w:marTop w:val="0"/>
      <w:marBottom w:val="0"/>
      <w:divBdr>
        <w:top w:val="none" w:sz="0" w:space="0" w:color="auto"/>
        <w:left w:val="none" w:sz="0" w:space="0" w:color="auto"/>
        <w:bottom w:val="none" w:sz="0" w:space="0" w:color="auto"/>
        <w:right w:val="none" w:sz="0" w:space="0" w:color="auto"/>
      </w:divBdr>
    </w:div>
    <w:div w:id="811483529">
      <w:marLeft w:val="0"/>
      <w:marRight w:val="0"/>
      <w:marTop w:val="0"/>
      <w:marBottom w:val="0"/>
      <w:divBdr>
        <w:top w:val="none" w:sz="0" w:space="0" w:color="auto"/>
        <w:left w:val="none" w:sz="0" w:space="0" w:color="auto"/>
        <w:bottom w:val="none" w:sz="0" w:space="0" w:color="auto"/>
        <w:right w:val="none" w:sz="0" w:space="0" w:color="auto"/>
      </w:divBdr>
    </w:div>
    <w:div w:id="8114835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TotalTime>
  <Pages>15</Pages>
  <Words>3315</Words>
  <Characters>18899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Title of Lorem Ipsum Example Text</dc:title>
  <dc:subject/>
  <dc:creator/>
  <cp:keywords/>
  <dc:description/>
  <cp:lastModifiedBy/>
  <cp:revision>44</cp:revision>
  <cp:lastPrinted>2015-06-05T16:37:00Z</cp:lastPrinted>
  <dcterms:created xsi:type="dcterms:W3CDTF">2015-06-08T14:33:00Z</dcterms:created>
  <dcterms:modified xsi:type="dcterms:W3CDTF">2015-06-09T11:29:00Z</dcterms:modified>
</cp:coreProperties>
</file>